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62" w:rsidRPr="00B1070D" w:rsidRDefault="00640A63" w:rsidP="00B1070D">
      <w:pPr>
        <w:pStyle w:val="BodyText"/>
        <w:spacing w:line="276" w:lineRule="auto"/>
        <w:ind w:left="100" w:firstLine="0"/>
        <w:rPr>
          <w:sz w:val="24"/>
          <w:szCs w:val="24"/>
        </w:rPr>
      </w:pPr>
      <w:r w:rsidRPr="00B1070D">
        <w:rPr>
          <w:sz w:val="24"/>
          <w:szCs w:val="24"/>
        </w:rPr>
        <w:t xml:space="preserve">  </w:t>
      </w:r>
      <w:r w:rsidR="006A7E66" w:rsidRPr="00902ED6">
        <w:rPr>
          <w:noProof/>
          <w:sz w:val="24"/>
          <w:szCs w:val="24"/>
          <w:highlight w:val="yellow"/>
          <w:lang w:val="en-US"/>
        </w:rPr>
        <w:drawing>
          <wp:inline distT="0" distB="0" distL="0" distR="0">
            <wp:extent cx="6867525" cy="128841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ogo me adres te re 2021.jpg"/>
                    <pic:cNvPicPr/>
                  </pic:nvPicPr>
                  <pic:blipFill>
                    <a:blip r:embed="rId6">
                      <a:extLst>
                        <a:ext uri="{28A0092B-C50C-407E-A947-70E740481C1C}">
                          <a14:useLocalDpi xmlns:a14="http://schemas.microsoft.com/office/drawing/2010/main" val="0"/>
                        </a:ext>
                      </a:extLst>
                    </a:blip>
                    <a:stretch>
                      <a:fillRect/>
                    </a:stretch>
                  </pic:blipFill>
                  <pic:spPr>
                    <a:xfrm>
                      <a:off x="0" y="0"/>
                      <a:ext cx="6918432" cy="1297961"/>
                    </a:xfrm>
                    <a:prstGeom prst="rect">
                      <a:avLst/>
                    </a:prstGeom>
                  </pic:spPr>
                </pic:pic>
              </a:graphicData>
            </a:graphic>
          </wp:inline>
        </w:drawing>
      </w:r>
    </w:p>
    <w:p w:rsidR="007839D1" w:rsidRPr="00D35F74" w:rsidRDefault="007839D1" w:rsidP="00B1070D">
      <w:pPr>
        <w:pStyle w:val="BodyText"/>
        <w:spacing w:line="276" w:lineRule="auto"/>
        <w:ind w:left="100" w:firstLine="0"/>
        <w:jc w:val="both"/>
        <w:rPr>
          <w:sz w:val="22"/>
          <w:szCs w:val="22"/>
        </w:rPr>
      </w:pPr>
    </w:p>
    <w:p w:rsidR="00C32A62" w:rsidRPr="006C67F5" w:rsidRDefault="00516969" w:rsidP="00B1070D">
      <w:pPr>
        <w:pStyle w:val="BodyText"/>
        <w:spacing w:line="276" w:lineRule="auto"/>
        <w:ind w:left="100" w:right="185" w:firstLine="0"/>
        <w:jc w:val="both"/>
        <w:rPr>
          <w:sz w:val="22"/>
          <w:szCs w:val="22"/>
        </w:rPr>
      </w:pPr>
      <w:r w:rsidRPr="006C67F5">
        <w:rPr>
          <w:sz w:val="22"/>
          <w:szCs w:val="22"/>
        </w:rPr>
        <w:t>Në bazë të dispozitave të Nenit 8 të Ligjit të Punës, si dhe Udhëzimit Administrativ Nr.07/2017, Neni</w:t>
      </w:r>
      <w:r w:rsidR="00F2539C" w:rsidRPr="006C67F5">
        <w:rPr>
          <w:sz w:val="22"/>
          <w:szCs w:val="22"/>
        </w:rPr>
        <w:t xml:space="preserve"> </w:t>
      </w:r>
      <w:r w:rsidRPr="006C67F5">
        <w:rPr>
          <w:sz w:val="22"/>
          <w:szCs w:val="22"/>
        </w:rPr>
        <w:t>4, Ndërmarrja Publike Banesore Sh.A në Prishtinë, shpall:</w:t>
      </w:r>
    </w:p>
    <w:p w:rsidR="00C32A62" w:rsidRPr="006C67F5" w:rsidRDefault="00C32A62" w:rsidP="00B1070D">
      <w:pPr>
        <w:pStyle w:val="BodyText"/>
        <w:spacing w:line="276" w:lineRule="auto"/>
        <w:ind w:left="0" w:firstLine="0"/>
        <w:rPr>
          <w:sz w:val="22"/>
          <w:szCs w:val="22"/>
        </w:rPr>
      </w:pPr>
    </w:p>
    <w:p w:rsidR="00182DF1" w:rsidRPr="006C67F5" w:rsidRDefault="00516969" w:rsidP="00B1070D">
      <w:pPr>
        <w:pStyle w:val="Heading2"/>
        <w:spacing w:before="93" w:line="276" w:lineRule="auto"/>
        <w:ind w:left="4097" w:right="4110"/>
        <w:jc w:val="center"/>
        <w:rPr>
          <w:sz w:val="22"/>
          <w:szCs w:val="22"/>
        </w:rPr>
      </w:pPr>
      <w:r w:rsidRPr="006C67F5">
        <w:rPr>
          <w:sz w:val="22"/>
          <w:szCs w:val="22"/>
        </w:rPr>
        <w:t>K O N K U R S</w:t>
      </w:r>
    </w:p>
    <w:p w:rsidR="00C32A62" w:rsidRPr="006C67F5" w:rsidRDefault="00182DF1" w:rsidP="00B1070D">
      <w:pPr>
        <w:pStyle w:val="BodyText"/>
        <w:spacing w:before="6" w:line="276" w:lineRule="auto"/>
        <w:ind w:left="0" w:firstLine="0"/>
        <w:jc w:val="center"/>
        <w:rPr>
          <w:b/>
          <w:i/>
          <w:sz w:val="22"/>
          <w:szCs w:val="22"/>
        </w:rPr>
      </w:pPr>
      <w:r w:rsidRPr="006C67F5">
        <w:rPr>
          <w:b/>
          <w:i/>
          <w:sz w:val="22"/>
          <w:szCs w:val="22"/>
        </w:rPr>
        <w:t>Për plotësimin e vendit të punës</w:t>
      </w:r>
    </w:p>
    <w:p w:rsidR="00182DF1" w:rsidRPr="006C67F5" w:rsidRDefault="00182DF1" w:rsidP="00B1070D">
      <w:pPr>
        <w:pStyle w:val="BodyText"/>
        <w:spacing w:before="6" w:line="276" w:lineRule="auto"/>
        <w:ind w:left="0" w:firstLine="0"/>
        <w:jc w:val="center"/>
        <w:rPr>
          <w:b/>
          <w:i/>
          <w:sz w:val="22"/>
          <w:szCs w:val="22"/>
        </w:rPr>
      </w:pPr>
    </w:p>
    <w:p w:rsidR="00C32A62" w:rsidRPr="006C67F5" w:rsidRDefault="00516969" w:rsidP="00525EFD">
      <w:pPr>
        <w:pStyle w:val="BodyText"/>
        <w:spacing w:line="276" w:lineRule="auto"/>
        <w:ind w:left="0" w:firstLine="0"/>
        <w:rPr>
          <w:sz w:val="22"/>
          <w:szCs w:val="22"/>
        </w:rPr>
      </w:pPr>
      <w:r w:rsidRPr="006C67F5">
        <w:rPr>
          <w:b/>
          <w:i/>
          <w:sz w:val="22"/>
          <w:szCs w:val="22"/>
        </w:rPr>
        <w:t>Titulli:</w:t>
      </w:r>
      <w:r w:rsidR="00C27C69" w:rsidRPr="006C67F5">
        <w:rPr>
          <w:b/>
          <w:i/>
          <w:sz w:val="22"/>
          <w:szCs w:val="22"/>
        </w:rPr>
        <w:t xml:space="preserve"> </w:t>
      </w:r>
      <w:r w:rsidR="006C67F5" w:rsidRPr="006C67F5">
        <w:rPr>
          <w:b/>
          <w:i/>
          <w:sz w:val="22"/>
          <w:szCs w:val="22"/>
        </w:rPr>
        <w:t>Udhëheqës/e i/e Divizionit të Burimeve Njërëzore (1) pozitë.</w:t>
      </w:r>
    </w:p>
    <w:p w:rsidR="00B11826" w:rsidRPr="006C67F5" w:rsidRDefault="005301B1" w:rsidP="00B1070D">
      <w:pPr>
        <w:spacing w:before="197" w:line="276" w:lineRule="auto"/>
        <w:ind w:right="7298"/>
        <w:rPr>
          <w:b/>
          <w:i/>
        </w:rPr>
      </w:pPr>
      <w:r w:rsidRPr="006C67F5">
        <w:rPr>
          <w:b/>
          <w:i/>
        </w:rPr>
        <w:t xml:space="preserve">Nr. i </w:t>
      </w:r>
      <w:r w:rsidR="00A663AE" w:rsidRPr="006C67F5">
        <w:rPr>
          <w:b/>
          <w:i/>
        </w:rPr>
        <w:t xml:space="preserve">referencës: </w:t>
      </w:r>
      <w:r w:rsidRPr="006C67F5">
        <w:rPr>
          <w:b/>
          <w:i/>
        </w:rPr>
        <w:t>NPB</w:t>
      </w:r>
      <w:r w:rsidR="006C67F5" w:rsidRPr="006C67F5">
        <w:rPr>
          <w:b/>
          <w:i/>
        </w:rPr>
        <w:t>/04.5.</w:t>
      </w:r>
    </w:p>
    <w:p w:rsidR="006C67F5" w:rsidRPr="006C67F5" w:rsidRDefault="007839D1" w:rsidP="00B1070D">
      <w:pPr>
        <w:spacing w:before="197" w:line="276" w:lineRule="auto"/>
        <w:ind w:right="7298"/>
        <w:rPr>
          <w:b/>
          <w:i/>
        </w:rPr>
      </w:pPr>
      <w:r w:rsidRPr="006C67F5">
        <w:rPr>
          <w:b/>
          <w:i/>
        </w:rPr>
        <w:t xml:space="preserve"> </w:t>
      </w:r>
      <w:r w:rsidR="006C67F5" w:rsidRPr="006C67F5">
        <w:rPr>
          <w:b/>
          <w:i/>
        </w:rPr>
        <w:t>Niveli pagës: 4.1</w:t>
      </w:r>
    </w:p>
    <w:p w:rsidR="00F867F3" w:rsidRPr="006C67F5" w:rsidRDefault="00516969" w:rsidP="006C67F5">
      <w:pPr>
        <w:pStyle w:val="BodyText"/>
        <w:spacing w:line="276" w:lineRule="auto"/>
        <w:ind w:left="0" w:firstLine="0"/>
        <w:rPr>
          <w:sz w:val="22"/>
          <w:szCs w:val="22"/>
        </w:rPr>
      </w:pPr>
      <w:r w:rsidRPr="006C67F5">
        <w:rPr>
          <w:b/>
          <w:i/>
          <w:sz w:val="22"/>
          <w:szCs w:val="22"/>
        </w:rPr>
        <w:t>Lloji i Pozitës:</w:t>
      </w:r>
      <w:r w:rsidR="00F867F3" w:rsidRPr="006C67F5">
        <w:rPr>
          <w:b/>
          <w:i/>
          <w:sz w:val="22"/>
          <w:szCs w:val="22"/>
        </w:rPr>
        <w:t xml:space="preserve"> </w:t>
      </w:r>
      <w:r w:rsidR="006C67F5" w:rsidRPr="006C67F5">
        <w:rPr>
          <w:b/>
          <w:i/>
          <w:sz w:val="22"/>
          <w:szCs w:val="22"/>
        </w:rPr>
        <w:t>Udhëheqës/e i/e Divizionit të Burimeve Njërëzore</w:t>
      </w:r>
    </w:p>
    <w:p w:rsidR="00F6137A" w:rsidRPr="006C67F5" w:rsidRDefault="00516969" w:rsidP="00B1070D">
      <w:pPr>
        <w:spacing w:before="4" w:line="276" w:lineRule="auto"/>
      </w:pPr>
      <w:r w:rsidRPr="006C67F5">
        <w:rPr>
          <w:b/>
          <w:i/>
        </w:rPr>
        <w:t xml:space="preserve">Orët e Punës: </w:t>
      </w:r>
      <w:r w:rsidRPr="006C67F5">
        <w:t>40 orë në javë</w:t>
      </w:r>
    </w:p>
    <w:p w:rsidR="008B4647" w:rsidRPr="006C67F5" w:rsidRDefault="00516969" w:rsidP="00B1070D">
      <w:pPr>
        <w:spacing w:before="197" w:line="276" w:lineRule="auto"/>
        <w:rPr>
          <w:color w:val="000000" w:themeColor="text1"/>
        </w:rPr>
      </w:pPr>
      <w:r w:rsidRPr="006C67F5">
        <w:rPr>
          <w:b/>
          <w:i/>
        </w:rPr>
        <w:t xml:space="preserve">Kohëzgjatja e emërimit: </w:t>
      </w:r>
      <w:r w:rsidR="008B4647" w:rsidRPr="006C67F5">
        <w:rPr>
          <w:color w:val="000000" w:themeColor="text1"/>
        </w:rPr>
        <w:t>Me koh</w:t>
      </w:r>
      <w:r w:rsidR="000C6993" w:rsidRPr="006C67F5">
        <w:rPr>
          <w:color w:val="000000" w:themeColor="text1"/>
        </w:rPr>
        <w:t xml:space="preserve">ë të pacaktuar ( puna </w:t>
      </w:r>
      <w:r w:rsidR="00B11826" w:rsidRPr="006C67F5">
        <w:rPr>
          <w:color w:val="000000" w:themeColor="text1"/>
        </w:rPr>
        <w:t>provuese</w:t>
      </w:r>
      <w:r w:rsidR="00B44AA2" w:rsidRPr="006C67F5">
        <w:rPr>
          <w:color w:val="000000" w:themeColor="text1"/>
        </w:rPr>
        <w:t xml:space="preserve"> deri në</w:t>
      </w:r>
      <w:r w:rsidR="00B11826" w:rsidRPr="006C67F5">
        <w:rPr>
          <w:color w:val="000000" w:themeColor="text1"/>
        </w:rPr>
        <w:t xml:space="preserve"> 3</w:t>
      </w:r>
      <w:r w:rsidR="008B4647" w:rsidRPr="006C67F5">
        <w:rPr>
          <w:color w:val="000000" w:themeColor="text1"/>
        </w:rPr>
        <w:t xml:space="preserve"> muaj)</w:t>
      </w:r>
    </w:p>
    <w:p w:rsidR="00C32A62" w:rsidRPr="006C67F5" w:rsidRDefault="00516969" w:rsidP="00B1070D">
      <w:pPr>
        <w:spacing w:before="197" w:line="276" w:lineRule="auto"/>
      </w:pPr>
      <w:r w:rsidRPr="006C67F5">
        <w:rPr>
          <w:b/>
          <w:i/>
        </w:rPr>
        <w:t>Vendi i punës:</w:t>
      </w:r>
      <w:r w:rsidR="004127FC" w:rsidRPr="006C67F5">
        <w:rPr>
          <w:b/>
          <w:i/>
        </w:rPr>
        <w:t xml:space="preserve"> </w:t>
      </w:r>
      <w:r w:rsidR="00CC441E" w:rsidRPr="006C67F5">
        <w:t>Rr.</w:t>
      </w:r>
      <w:r w:rsidR="000C6993" w:rsidRPr="006C67F5">
        <w:t>”Zija Shemsiu” nr.2</w:t>
      </w:r>
      <w:r w:rsidR="00CC441E" w:rsidRPr="006C67F5">
        <w:t>2,</w:t>
      </w:r>
      <w:r w:rsidR="000C6993" w:rsidRPr="006C67F5">
        <w:t xml:space="preserve"> Ulpian</w:t>
      </w:r>
      <w:r w:rsidR="007A0138" w:rsidRPr="006C67F5">
        <w:t>ë</w:t>
      </w:r>
      <w:r w:rsidR="000C6993" w:rsidRPr="006C67F5">
        <w:t>-</w:t>
      </w:r>
      <w:r w:rsidR="00CC441E" w:rsidRPr="006C67F5">
        <w:t xml:space="preserve"> Prishtinë ( selia e Ndërmarrjes Publike Banesore)</w:t>
      </w:r>
    </w:p>
    <w:p w:rsidR="006C67F5" w:rsidRPr="006C67F5" w:rsidRDefault="006C67F5" w:rsidP="00B1070D">
      <w:pPr>
        <w:spacing w:before="198" w:line="276" w:lineRule="auto"/>
      </w:pPr>
      <w:r w:rsidRPr="006C67F5">
        <w:rPr>
          <w:b/>
          <w:i/>
        </w:rPr>
        <w:t>I raporton</w:t>
      </w:r>
      <w:r w:rsidR="002F2F7F" w:rsidRPr="006C67F5">
        <w:rPr>
          <w:b/>
          <w:i/>
        </w:rPr>
        <w:t xml:space="preserve">: </w:t>
      </w:r>
      <w:r w:rsidRPr="006C67F5">
        <w:t>M</w:t>
      </w:r>
      <w:bookmarkStart w:id="0" w:name="_GoBack"/>
      <w:bookmarkEnd w:id="0"/>
      <w:r w:rsidRPr="006C67F5">
        <w:t>enaxherit/es së Departamentit për Mbështetje të Brendshme</w:t>
      </w:r>
    </w:p>
    <w:p w:rsidR="006C67F5" w:rsidRPr="006C67F5" w:rsidRDefault="006C67F5" w:rsidP="006C67F5">
      <w:pPr>
        <w:spacing w:line="276" w:lineRule="auto"/>
        <w:jc w:val="both"/>
      </w:pPr>
      <w:r w:rsidRPr="006C67F5">
        <w:rPr>
          <w:b/>
        </w:rPr>
        <w:t xml:space="preserve">Fushëveprimi: </w:t>
      </w:r>
      <w:r w:rsidRPr="006C67F5">
        <w:t>Sigurimi i zbatimit të procedurave ligjore lidhur për menaxhimin dhe zhvillimin e Burimeve Njerëzore në Ndërmarrje.</w:t>
      </w:r>
    </w:p>
    <w:p w:rsidR="00C17F28" w:rsidRPr="006C67F5" w:rsidRDefault="00C17F28" w:rsidP="00C17F28">
      <w:pPr>
        <w:pStyle w:val="Title"/>
        <w:spacing w:before="60" w:line="276" w:lineRule="auto"/>
        <w:jc w:val="both"/>
        <w:rPr>
          <w:bCs w:val="0"/>
          <w:iCs/>
          <w:sz w:val="22"/>
          <w:szCs w:val="22"/>
          <w:u w:val="single"/>
        </w:rPr>
      </w:pPr>
      <w:proofErr w:type="spellStart"/>
      <w:r w:rsidRPr="006C67F5">
        <w:rPr>
          <w:bCs w:val="0"/>
          <w:iCs/>
          <w:sz w:val="22"/>
          <w:szCs w:val="22"/>
          <w:u w:val="single"/>
        </w:rPr>
        <w:t>Detyrat</w:t>
      </w:r>
      <w:proofErr w:type="spellEnd"/>
      <w:r w:rsidRPr="006C67F5">
        <w:rPr>
          <w:bCs w:val="0"/>
          <w:iCs/>
          <w:sz w:val="22"/>
          <w:szCs w:val="22"/>
          <w:u w:val="single"/>
        </w:rPr>
        <w:t xml:space="preserve"> </w:t>
      </w:r>
      <w:proofErr w:type="spellStart"/>
      <w:r w:rsidRPr="006C67F5">
        <w:rPr>
          <w:bCs w:val="0"/>
          <w:iCs/>
          <w:sz w:val="22"/>
          <w:szCs w:val="22"/>
          <w:u w:val="single"/>
        </w:rPr>
        <w:t>dhe</w:t>
      </w:r>
      <w:proofErr w:type="spellEnd"/>
      <w:r w:rsidRPr="006C67F5">
        <w:rPr>
          <w:bCs w:val="0"/>
          <w:iCs/>
          <w:sz w:val="22"/>
          <w:szCs w:val="22"/>
          <w:u w:val="single"/>
        </w:rPr>
        <w:t xml:space="preserve"> </w:t>
      </w:r>
      <w:proofErr w:type="spellStart"/>
      <w:r w:rsidRPr="006C67F5">
        <w:rPr>
          <w:bCs w:val="0"/>
          <w:iCs/>
          <w:sz w:val="22"/>
          <w:szCs w:val="22"/>
          <w:u w:val="single"/>
        </w:rPr>
        <w:t>përgjegjësitë</w:t>
      </w:r>
      <w:proofErr w:type="spellEnd"/>
    </w:p>
    <w:p w:rsidR="00C17F28" w:rsidRPr="006C67F5" w:rsidRDefault="00C17F28" w:rsidP="006C67F5">
      <w:pPr>
        <w:pStyle w:val="ListParagraph"/>
        <w:widowControl/>
        <w:numPr>
          <w:ilvl w:val="0"/>
          <w:numId w:val="2"/>
        </w:numPr>
        <w:adjustRightInd w:val="0"/>
        <w:spacing w:line="276" w:lineRule="auto"/>
        <w:ind w:right="324"/>
        <w:contextualSpacing/>
        <w:jc w:val="both"/>
        <w:rPr>
          <w:bCs/>
          <w:color w:val="000000"/>
        </w:rPr>
      </w:pPr>
      <w:r w:rsidRPr="006C67F5">
        <w:rPr>
          <w:bCs/>
          <w:color w:val="000000"/>
        </w:rPr>
        <w:t xml:space="preserve">Udhëheq punën e gjithëmbarshme të Divizionit të Burimeve Njerëzore dhe ndihmon mbikëqyrësin në caktimin e objektivave dhe hartimin e planit të punës për përmbushjen e këtyre objektivave; </w:t>
      </w:r>
    </w:p>
    <w:p w:rsidR="00C17F28" w:rsidRPr="006C67F5" w:rsidRDefault="00C17F28" w:rsidP="006C67F5">
      <w:pPr>
        <w:widowControl/>
        <w:numPr>
          <w:ilvl w:val="0"/>
          <w:numId w:val="2"/>
        </w:numPr>
        <w:adjustRightInd w:val="0"/>
        <w:spacing w:line="276" w:lineRule="auto"/>
        <w:ind w:right="324"/>
        <w:jc w:val="both"/>
        <w:rPr>
          <w:bCs/>
          <w:color w:val="000000"/>
        </w:rPr>
      </w:pPr>
      <w:r w:rsidRPr="006C67F5">
        <w:rPr>
          <w:bCs/>
          <w:color w:val="000000"/>
        </w:rPr>
        <w:t xml:space="preserve">Menaxhon me stafin e divizionit dhe bënë ndarjen e detyrave tek varësit e tij, ofron udhëzime dhe monitoron punën e stafit për të siguruar shërbime cilësore;  </w:t>
      </w:r>
    </w:p>
    <w:p w:rsidR="00C17F28" w:rsidRPr="006C67F5" w:rsidRDefault="00C17F28" w:rsidP="006C67F5">
      <w:pPr>
        <w:widowControl/>
        <w:numPr>
          <w:ilvl w:val="0"/>
          <w:numId w:val="2"/>
        </w:numPr>
        <w:adjustRightInd w:val="0"/>
        <w:spacing w:line="276" w:lineRule="auto"/>
        <w:ind w:right="324"/>
        <w:jc w:val="both"/>
        <w:rPr>
          <w:bCs/>
          <w:color w:val="000000"/>
        </w:rPr>
      </w:pPr>
      <w:r w:rsidRPr="006C67F5">
        <w:rPr>
          <w:bCs/>
          <w:color w:val="000000"/>
        </w:rPr>
        <w:t xml:space="preserve">Me autorizim të Menaxherit të Departamentit për Mbështetje të Brendshme përfaqëson Ndërmarrjen në Institucionet tjera përfshirë këtu Inspektoriatin e Punës dhe organet tjera sipas nevojës; </w:t>
      </w:r>
    </w:p>
    <w:p w:rsidR="00C17F28" w:rsidRPr="006C67F5" w:rsidRDefault="00C17F28" w:rsidP="006C67F5">
      <w:pPr>
        <w:widowControl/>
        <w:numPr>
          <w:ilvl w:val="0"/>
          <w:numId w:val="2"/>
        </w:numPr>
        <w:adjustRightInd w:val="0"/>
        <w:spacing w:line="276" w:lineRule="auto"/>
        <w:ind w:right="324"/>
        <w:jc w:val="both"/>
        <w:rPr>
          <w:bCs/>
          <w:color w:val="000000"/>
        </w:rPr>
      </w:pPr>
      <w:r w:rsidRPr="006C67F5">
        <w:rPr>
          <w:bCs/>
          <w:color w:val="000000"/>
        </w:rPr>
        <w:t xml:space="preserve">Siguron zbatimin e politikave, legjislacionit dhe procedurave për punësimin, dhe zhvillimin e Burimeve Njerëzore të Ndërmarrjes; </w:t>
      </w:r>
    </w:p>
    <w:p w:rsidR="00C17F28" w:rsidRPr="006C67F5" w:rsidRDefault="00C17F28" w:rsidP="006C67F5">
      <w:pPr>
        <w:widowControl/>
        <w:numPr>
          <w:ilvl w:val="0"/>
          <w:numId w:val="2"/>
        </w:numPr>
        <w:adjustRightInd w:val="0"/>
        <w:spacing w:line="276" w:lineRule="auto"/>
        <w:ind w:right="324"/>
        <w:jc w:val="both"/>
        <w:rPr>
          <w:bCs/>
          <w:color w:val="000000"/>
        </w:rPr>
      </w:pPr>
      <w:r w:rsidRPr="006C67F5">
        <w:rPr>
          <w:bCs/>
          <w:color w:val="000000"/>
        </w:rPr>
        <w:t xml:space="preserve">Përpilon dhe kalkulon pagat e punonjësve të NPB, duke u kujdesur për shtesat në pagë bazuar në Rregulloret e Brendshme të Ndërmarrjes dhe legjislacionin në fuqi; </w:t>
      </w:r>
    </w:p>
    <w:p w:rsidR="00C17F28" w:rsidRPr="006C67F5" w:rsidRDefault="00C17F28" w:rsidP="006C67F5">
      <w:pPr>
        <w:widowControl/>
        <w:numPr>
          <w:ilvl w:val="0"/>
          <w:numId w:val="2"/>
        </w:numPr>
        <w:adjustRightInd w:val="0"/>
        <w:spacing w:line="276" w:lineRule="auto"/>
        <w:ind w:right="324"/>
        <w:jc w:val="both"/>
        <w:rPr>
          <w:bCs/>
          <w:color w:val="000000"/>
        </w:rPr>
      </w:pPr>
      <w:r w:rsidRPr="006C67F5">
        <w:rPr>
          <w:bCs/>
          <w:color w:val="000000"/>
        </w:rPr>
        <w:t>Udhëheq procesin e planifikimit, vlerësimit dhe rekrutimit të personelit si dhe menaxhon dhe mirëmban sistemin e informatave për menaxhimin e Burimeve Njerëzore të Ndërmarrjes;</w:t>
      </w:r>
    </w:p>
    <w:p w:rsidR="00C17F28" w:rsidRPr="006C67F5" w:rsidRDefault="00C17F28" w:rsidP="006C67F5">
      <w:pPr>
        <w:widowControl/>
        <w:numPr>
          <w:ilvl w:val="0"/>
          <w:numId w:val="2"/>
        </w:numPr>
        <w:adjustRightInd w:val="0"/>
        <w:spacing w:line="276" w:lineRule="auto"/>
        <w:ind w:right="324"/>
        <w:jc w:val="both"/>
        <w:rPr>
          <w:bCs/>
        </w:rPr>
      </w:pPr>
      <w:r w:rsidRPr="006C67F5">
        <w:rPr>
          <w:shd w:val="clear" w:color="auto" w:fill="FFFFFF"/>
        </w:rPr>
        <w:t>Harton dhe ndjek procedurat në lidhje me konkurset për plotësimin e vendeve të lira, në përputhje ne ligjin dhe procedurat në fuqi;</w:t>
      </w:r>
    </w:p>
    <w:p w:rsidR="00C17F28" w:rsidRPr="006C67F5" w:rsidRDefault="00C17F28" w:rsidP="006C67F5">
      <w:pPr>
        <w:widowControl/>
        <w:numPr>
          <w:ilvl w:val="0"/>
          <w:numId w:val="2"/>
        </w:numPr>
        <w:adjustRightInd w:val="0"/>
        <w:spacing w:line="276" w:lineRule="auto"/>
        <w:ind w:right="324"/>
        <w:jc w:val="both"/>
        <w:rPr>
          <w:bCs/>
          <w:color w:val="000000"/>
        </w:rPr>
      </w:pPr>
      <w:r w:rsidRPr="006C67F5">
        <w:rPr>
          <w:bCs/>
          <w:color w:val="000000"/>
        </w:rPr>
        <w:t xml:space="preserve">Siguron identifikimin e nevojave për trajnimin, arsimimin e burimeve njerëzore, vlerësimin e ndikimit të trajnimeve si dhe sigurimi i trajnimeve adekuate; </w:t>
      </w:r>
    </w:p>
    <w:p w:rsidR="00C17F28" w:rsidRPr="006C67F5" w:rsidRDefault="00C17F28" w:rsidP="006C67F5">
      <w:pPr>
        <w:widowControl/>
        <w:numPr>
          <w:ilvl w:val="0"/>
          <w:numId w:val="2"/>
        </w:numPr>
        <w:adjustRightInd w:val="0"/>
        <w:spacing w:line="276" w:lineRule="auto"/>
        <w:ind w:right="324"/>
        <w:jc w:val="both"/>
        <w:rPr>
          <w:bCs/>
          <w:color w:val="000000"/>
        </w:rPr>
      </w:pPr>
      <w:r w:rsidRPr="006C67F5">
        <w:rPr>
          <w:bCs/>
          <w:color w:val="000000"/>
        </w:rPr>
        <w:t xml:space="preserve">Këshillon dhe mbështet udhëheqësit e njësive organizative të Ndërmarjes lidhur me përshkrimet adekuate të vendeve të punës, vlerësimin e personelit; </w:t>
      </w:r>
    </w:p>
    <w:p w:rsidR="00C17F28" w:rsidRPr="006C67F5" w:rsidRDefault="00C17F28" w:rsidP="006C67F5">
      <w:pPr>
        <w:widowControl/>
        <w:numPr>
          <w:ilvl w:val="0"/>
          <w:numId w:val="2"/>
        </w:numPr>
        <w:adjustRightInd w:val="0"/>
        <w:spacing w:line="276" w:lineRule="auto"/>
        <w:ind w:right="324"/>
        <w:jc w:val="both"/>
        <w:rPr>
          <w:bCs/>
          <w:color w:val="000000"/>
        </w:rPr>
      </w:pPr>
      <w:r w:rsidRPr="006C67F5">
        <w:t>Mban konfidencial informacionin që ka për të punësuarit e NPB në përputhje me aktet nënligjore të NPB-se;</w:t>
      </w:r>
    </w:p>
    <w:p w:rsidR="00C17F28" w:rsidRPr="006C67F5" w:rsidRDefault="00C17F28" w:rsidP="006C67F5">
      <w:pPr>
        <w:widowControl/>
        <w:numPr>
          <w:ilvl w:val="0"/>
          <w:numId w:val="2"/>
        </w:numPr>
        <w:adjustRightInd w:val="0"/>
        <w:spacing w:line="276" w:lineRule="auto"/>
        <w:ind w:right="324"/>
        <w:jc w:val="both"/>
        <w:rPr>
          <w:bCs/>
          <w:color w:val="000000"/>
        </w:rPr>
      </w:pPr>
      <w:r w:rsidRPr="006C67F5">
        <w:rPr>
          <w:bCs/>
          <w:color w:val="000000"/>
        </w:rPr>
        <w:t xml:space="preserve">Mbështet punën e Komisionit për ankesa dhe parashtresa dhe Komisionit Disiplinor;  </w:t>
      </w:r>
    </w:p>
    <w:p w:rsidR="00C17F28" w:rsidRPr="006C67F5" w:rsidRDefault="00C17F28" w:rsidP="006C67F5">
      <w:pPr>
        <w:widowControl/>
        <w:numPr>
          <w:ilvl w:val="0"/>
          <w:numId w:val="2"/>
        </w:numPr>
        <w:adjustRightInd w:val="0"/>
        <w:spacing w:line="276" w:lineRule="auto"/>
        <w:ind w:right="324"/>
        <w:jc w:val="both"/>
        <w:rPr>
          <w:bCs/>
          <w:color w:val="000000"/>
        </w:rPr>
      </w:pPr>
      <w:r w:rsidRPr="006C67F5">
        <w:rPr>
          <w:bCs/>
          <w:color w:val="000000"/>
        </w:rPr>
        <w:lastRenderedPageBreak/>
        <w:t xml:space="preserve">Bën vlerësim të rregullt të stafit nën mbikëqyrje të tij/saj dhe përkrah zhvillimin e tyre përmes trajnimeve për të siguruar kryerjen e detyrave të tyre në nivel me standardet e kërkuara; </w:t>
      </w:r>
    </w:p>
    <w:p w:rsidR="00C17F28" w:rsidRPr="006C67F5" w:rsidRDefault="00C17F28" w:rsidP="006C67F5">
      <w:pPr>
        <w:widowControl/>
        <w:numPr>
          <w:ilvl w:val="0"/>
          <w:numId w:val="2"/>
        </w:numPr>
        <w:adjustRightInd w:val="0"/>
        <w:spacing w:line="276" w:lineRule="auto"/>
        <w:ind w:right="324"/>
        <w:jc w:val="both"/>
        <w:rPr>
          <w:bCs/>
          <w:color w:val="000000"/>
        </w:rPr>
      </w:pPr>
      <w:r w:rsidRPr="006C67F5">
        <w:rPr>
          <w:bCs/>
          <w:color w:val="000000"/>
        </w:rPr>
        <w:t xml:space="preserve">Bën planin e ndjekjes së trajnimeve për punonjësit e NPB, si dhe kujdeset që po zbatohet drejtë Rregullorja e Brendshme për Trajnime; </w:t>
      </w:r>
    </w:p>
    <w:p w:rsidR="00C17F28" w:rsidRPr="006C67F5" w:rsidRDefault="00C17F28" w:rsidP="006C67F5">
      <w:pPr>
        <w:pStyle w:val="ListParagraph"/>
        <w:widowControl/>
        <w:numPr>
          <w:ilvl w:val="0"/>
          <w:numId w:val="2"/>
        </w:numPr>
        <w:shd w:val="clear" w:color="auto" w:fill="FFFFFF"/>
        <w:autoSpaceDE/>
        <w:autoSpaceDN/>
        <w:spacing w:after="150"/>
        <w:contextualSpacing/>
      </w:pPr>
      <w:r w:rsidRPr="006C67F5">
        <w:t>Me qëllim të ushtrimit të funksioneve të përcaktuara me dispozitat ligjore në fuqi, Udhëheqësi i Burimeve Njerëzore, brenda fushëveprimtarisë së tij,  mund të nxjerrë akte  për organizmin dhe funksionimin e Divizionit të Burimeve Njerëzore;</w:t>
      </w:r>
    </w:p>
    <w:p w:rsidR="00C17F28" w:rsidRPr="006C67F5" w:rsidRDefault="00C17F28" w:rsidP="006C67F5">
      <w:pPr>
        <w:pStyle w:val="ListParagraph"/>
        <w:widowControl/>
        <w:numPr>
          <w:ilvl w:val="0"/>
          <w:numId w:val="2"/>
        </w:numPr>
        <w:shd w:val="clear" w:color="auto" w:fill="FFFFFF"/>
        <w:autoSpaceDE/>
        <w:autoSpaceDN/>
        <w:spacing w:after="150"/>
        <w:contextualSpacing/>
      </w:pPr>
      <w:r w:rsidRPr="006C67F5">
        <w:t>Harton dokumente të nevojshme për Burimet Njerëzore bazuar në praktika të mira, duke lehtësuar procedurat mbi çështje të ndryshme organizative brenda Ndërmarrjes.</w:t>
      </w:r>
    </w:p>
    <w:p w:rsidR="00C17F28" w:rsidRPr="006C67F5" w:rsidRDefault="00C17F28" w:rsidP="00C17F28">
      <w:pPr>
        <w:spacing w:line="276" w:lineRule="auto"/>
        <w:jc w:val="both"/>
        <w:rPr>
          <w:b/>
        </w:rPr>
      </w:pPr>
      <w:r w:rsidRPr="006C67F5">
        <w:rPr>
          <w:b/>
        </w:rPr>
        <w:t xml:space="preserve">Kualifikimet: </w:t>
      </w:r>
    </w:p>
    <w:p w:rsidR="00C17F28" w:rsidRPr="006C67F5" w:rsidRDefault="00C17F28" w:rsidP="006C67F5">
      <w:pPr>
        <w:widowControl/>
        <w:numPr>
          <w:ilvl w:val="0"/>
          <w:numId w:val="3"/>
        </w:numPr>
        <w:tabs>
          <w:tab w:val="left" w:pos="7380"/>
        </w:tabs>
        <w:autoSpaceDE/>
        <w:autoSpaceDN/>
        <w:spacing w:line="276" w:lineRule="auto"/>
        <w:contextualSpacing/>
        <w:jc w:val="both"/>
      </w:pPr>
      <w:r w:rsidRPr="006C67F5">
        <w:t>Fakulteti Ekonomik ose Jurdik;</w:t>
      </w:r>
    </w:p>
    <w:p w:rsidR="00C17F28" w:rsidRPr="006C67F5" w:rsidRDefault="00C17F28" w:rsidP="006C67F5">
      <w:pPr>
        <w:widowControl/>
        <w:numPr>
          <w:ilvl w:val="0"/>
          <w:numId w:val="3"/>
        </w:numPr>
        <w:autoSpaceDE/>
        <w:autoSpaceDN/>
        <w:spacing w:line="276" w:lineRule="auto"/>
        <w:jc w:val="both"/>
      </w:pPr>
      <w:r w:rsidRPr="006C67F5">
        <w:t>Së paku 3 vite përvojë pune;</w:t>
      </w:r>
    </w:p>
    <w:p w:rsidR="00C17F28" w:rsidRPr="006C67F5" w:rsidRDefault="00C17F28" w:rsidP="006C67F5">
      <w:pPr>
        <w:widowControl/>
        <w:numPr>
          <w:ilvl w:val="0"/>
          <w:numId w:val="3"/>
        </w:numPr>
        <w:autoSpaceDE/>
        <w:autoSpaceDN/>
        <w:spacing w:line="276" w:lineRule="auto"/>
        <w:jc w:val="both"/>
      </w:pPr>
      <w:r w:rsidRPr="006C67F5">
        <w:t>Së paku 2 vite përvojë pune profesionale.</w:t>
      </w:r>
    </w:p>
    <w:p w:rsidR="00C17F28" w:rsidRPr="006C67F5" w:rsidRDefault="00C17F28" w:rsidP="00C17F28">
      <w:pPr>
        <w:spacing w:line="276" w:lineRule="auto"/>
        <w:jc w:val="both"/>
        <w:rPr>
          <w:b/>
          <w:bCs/>
          <w:u w:val="single"/>
        </w:rPr>
      </w:pPr>
      <w:r w:rsidRPr="006C67F5">
        <w:rPr>
          <w:b/>
          <w:bCs/>
          <w:u w:val="single"/>
        </w:rPr>
        <w:t>Aftësitë:</w:t>
      </w:r>
    </w:p>
    <w:p w:rsidR="00C17F28" w:rsidRPr="006C67F5" w:rsidRDefault="00C17F28" w:rsidP="006C67F5">
      <w:pPr>
        <w:widowControl/>
        <w:numPr>
          <w:ilvl w:val="0"/>
          <w:numId w:val="3"/>
        </w:numPr>
        <w:autoSpaceDE/>
        <w:autoSpaceDN/>
        <w:spacing w:line="276" w:lineRule="auto"/>
        <w:jc w:val="both"/>
      </w:pPr>
      <w:r w:rsidRPr="006C67F5">
        <w:rPr>
          <w:bCs/>
          <w:color w:val="000000"/>
        </w:rPr>
        <w:t xml:space="preserve">Njohuri dhe përvojë në fushën e menaxhimit dhe zhvillimit të burimeve njerëzore dhe </w:t>
      </w:r>
      <w:r w:rsidRPr="006C67F5">
        <w:t>njohuri në procedura të rekrutimit në institucionet publike;</w:t>
      </w:r>
    </w:p>
    <w:p w:rsidR="00C17F28" w:rsidRPr="006C67F5" w:rsidRDefault="00C17F28" w:rsidP="006C67F5">
      <w:pPr>
        <w:widowControl/>
        <w:numPr>
          <w:ilvl w:val="0"/>
          <w:numId w:val="3"/>
        </w:numPr>
        <w:adjustRightInd w:val="0"/>
        <w:spacing w:line="276" w:lineRule="auto"/>
        <w:jc w:val="both"/>
        <w:rPr>
          <w:bCs/>
          <w:color w:val="000000"/>
        </w:rPr>
      </w:pPr>
      <w:r w:rsidRPr="006C67F5">
        <w:rPr>
          <w:bCs/>
          <w:color w:val="000000"/>
        </w:rPr>
        <w:t xml:space="preserve">Shkathtësi të lartë në menaxhim, organizim, caktim të objektivave dhe planifikim; </w:t>
      </w:r>
    </w:p>
    <w:p w:rsidR="00C17F28" w:rsidRPr="006C67F5" w:rsidRDefault="00C17F28" w:rsidP="006C67F5">
      <w:pPr>
        <w:widowControl/>
        <w:numPr>
          <w:ilvl w:val="0"/>
          <w:numId w:val="3"/>
        </w:numPr>
        <w:adjustRightInd w:val="0"/>
        <w:spacing w:line="276" w:lineRule="auto"/>
        <w:jc w:val="both"/>
        <w:rPr>
          <w:bCs/>
          <w:color w:val="000000"/>
        </w:rPr>
      </w:pPr>
      <w:r w:rsidRPr="006C67F5">
        <w:rPr>
          <w:bCs/>
          <w:color w:val="000000"/>
        </w:rPr>
        <w:t xml:space="preserve">Njohuri të mira për mbikëqyrje efektive të punës profesionale të kryer nga vartësit; </w:t>
      </w:r>
    </w:p>
    <w:p w:rsidR="00C17F28" w:rsidRPr="006C67F5" w:rsidRDefault="00C17F28" w:rsidP="006C67F5">
      <w:pPr>
        <w:widowControl/>
        <w:numPr>
          <w:ilvl w:val="0"/>
          <w:numId w:val="3"/>
        </w:numPr>
        <w:adjustRightInd w:val="0"/>
        <w:spacing w:line="276" w:lineRule="auto"/>
        <w:jc w:val="both"/>
        <w:rPr>
          <w:bCs/>
          <w:color w:val="000000"/>
        </w:rPr>
      </w:pPr>
      <w:r w:rsidRPr="006C67F5">
        <w:rPr>
          <w:bCs/>
          <w:color w:val="000000"/>
        </w:rPr>
        <w:t xml:space="preserve">Shkathtësi të nivelit të lartë në komunikim dhe negocimit; </w:t>
      </w:r>
    </w:p>
    <w:p w:rsidR="00C17F28" w:rsidRPr="006C67F5" w:rsidRDefault="00C17F28" w:rsidP="006C67F5">
      <w:pPr>
        <w:widowControl/>
        <w:numPr>
          <w:ilvl w:val="0"/>
          <w:numId w:val="3"/>
        </w:numPr>
        <w:adjustRightInd w:val="0"/>
        <w:spacing w:line="276" w:lineRule="auto"/>
        <w:jc w:val="both"/>
        <w:rPr>
          <w:bCs/>
          <w:color w:val="000000"/>
        </w:rPr>
      </w:pPr>
      <w:r w:rsidRPr="006C67F5">
        <w:rPr>
          <w:bCs/>
          <w:color w:val="000000"/>
        </w:rPr>
        <w:t xml:space="preserve">Fleksibilitet ndaj organizimit dhe mbikëqyrjes së punës, përfshirë zgjidhjen e problemeve; </w:t>
      </w:r>
    </w:p>
    <w:p w:rsidR="00C17F28" w:rsidRPr="006C67F5" w:rsidRDefault="00C17F28" w:rsidP="006C67F5">
      <w:pPr>
        <w:widowControl/>
        <w:numPr>
          <w:ilvl w:val="0"/>
          <w:numId w:val="3"/>
        </w:numPr>
        <w:adjustRightInd w:val="0"/>
        <w:spacing w:line="276" w:lineRule="auto"/>
        <w:jc w:val="both"/>
        <w:rPr>
          <w:bCs/>
          <w:color w:val="000000"/>
        </w:rPr>
      </w:pPr>
      <w:r w:rsidRPr="006C67F5">
        <w:rPr>
          <w:bCs/>
          <w:color w:val="000000"/>
        </w:rPr>
        <w:t xml:space="preserve">Shkathtësi kompjuterike të aplikacioneve të programeve (Word, Excel, Poëer Point, Access, internet) </w:t>
      </w:r>
    </w:p>
    <w:p w:rsidR="00C17F28" w:rsidRPr="006C67F5" w:rsidRDefault="00C17F28" w:rsidP="006C67F5">
      <w:pPr>
        <w:widowControl/>
        <w:numPr>
          <w:ilvl w:val="0"/>
          <w:numId w:val="3"/>
        </w:numPr>
        <w:tabs>
          <w:tab w:val="left" w:pos="7380"/>
        </w:tabs>
        <w:autoSpaceDE/>
        <w:autoSpaceDN/>
        <w:spacing w:line="276" w:lineRule="auto"/>
        <w:contextualSpacing/>
        <w:jc w:val="both"/>
      </w:pPr>
      <w:r w:rsidRPr="006C67F5">
        <w:t>Aftësi menaxhimi dhe administrimi;</w:t>
      </w:r>
    </w:p>
    <w:p w:rsidR="00C17F28" w:rsidRPr="006C67F5" w:rsidRDefault="00C17F28" w:rsidP="006C67F5">
      <w:pPr>
        <w:widowControl/>
        <w:numPr>
          <w:ilvl w:val="0"/>
          <w:numId w:val="3"/>
        </w:numPr>
        <w:tabs>
          <w:tab w:val="left" w:pos="7380"/>
        </w:tabs>
        <w:autoSpaceDE/>
        <w:autoSpaceDN/>
        <w:spacing w:line="276" w:lineRule="auto"/>
        <w:contextualSpacing/>
        <w:jc w:val="both"/>
      </w:pPr>
      <w:r w:rsidRPr="006C67F5">
        <w:t>Shkathtësi në punë ekipore;</w:t>
      </w:r>
    </w:p>
    <w:p w:rsidR="00C17F28" w:rsidRPr="006C67F5" w:rsidRDefault="00C17F28" w:rsidP="006C67F5">
      <w:pPr>
        <w:widowControl/>
        <w:numPr>
          <w:ilvl w:val="0"/>
          <w:numId w:val="3"/>
        </w:numPr>
        <w:tabs>
          <w:tab w:val="left" w:pos="7380"/>
        </w:tabs>
        <w:overflowPunct w:val="0"/>
        <w:adjustRightInd w:val="0"/>
        <w:spacing w:line="276" w:lineRule="auto"/>
        <w:ind w:left="717"/>
        <w:contextualSpacing/>
        <w:jc w:val="both"/>
        <w:textAlignment w:val="baseline"/>
      </w:pPr>
      <w:r w:rsidRPr="006C67F5">
        <w:t xml:space="preserve">Njohuri e Gjuhës Angleze.; </w:t>
      </w:r>
    </w:p>
    <w:p w:rsidR="00C17F28" w:rsidRPr="006C67F5" w:rsidRDefault="00C17F28" w:rsidP="006C67F5">
      <w:pPr>
        <w:widowControl/>
        <w:numPr>
          <w:ilvl w:val="0"/>
          <w:numId w:val="3"/>
        </w:numPr>
        <w:autoSpaceDE/>
        <w:autoSpaceDN/>
        <w:spacing w:line="276" w:lineRule="auto"/>
        <w:jc w:val="both"/>
      </w:pPr>
      <w:r w:rsidRPr="006C67F5">
        <w:t>Të jetë në gjendje të punoj nën presion;</w:t>
      </w:r>
    </w:p>
    <w:p w:rsidR="00C17F28" w:rsidRPr="006C67F5" w:rsidRDefault="00C17F28" w:rsidP="006C67F5">
      <w:pPr>
        <w:pStyle w:val="ListParagraph"/>
        <w:widowControl/>
        <w:numPr>
          <w:ilvl w:val="0"/>
          <w:numId w:val="3"/>
        </w:numPr>
        <w:overflowPunct w:val="0"/>
        <w:spacing w:before="60"/>
        <w:contextualSpacing/>
        <w:jc w:val="both"/>
        <w:textAlignment w:val="baseline"/>
      </w:pPr>
      <w:r w:rsidRPr="006C67F5">
        <w:t xml:space="preserve">Të ketë etikë në punë dhe integritet të lartë. </w:t>
      </w:r>
    </w:p>
    <w:p w:rsidR="00C17F28" w:rsidRPr="006C67F5" w:rsidRDefault="00C17F28" w:rsidP="00C17F28">
      <w:pPr>
        <w:pStyle w:val="Title"/>
        <w:spacing w:before="60" w:line="276" w:lineRule="auto"/>
        <w:jc w:val="both"/>
        <w:rPr>
          <w:sz w:val="22"/>
          <w:szCs w:val="22"/>
          <w:u w:val="single"/>
        </w:rPr>
      </w:pPr>
      <w:proofErr w:type="spellStart"/>
      <w:r w:rsidRPr="006C67F5">
        <w:rPr>
          <w:sz w:val="22"/>
          <w:szCs w:val="22"/>
          <w:u w:val="single"/>
        </w:rPr>
        <w:t>Kualifikimet</w:t>
      </w:r>
      <w:proofErr w:type="spellEnd"/>
      <w:r w:rsidRPr="006C67F5">
        <w:rPr>
          <w:sz w:val="22"/>
          <w:szCs w:val="22"/>
          <w:u w:val="single"/>
        </w:rPr>
        <w:t xml:space="preserve"> </w:t>
      </w:r>
      <w:proofErr w:type="spellStart"/>
      <w:r w:rsidRPr="006C67F5">
        <w:rPr>
          <w:sz w:val="22"/>
          <w:szCs w:val="22"/>
          <w:u w:val="single"/>
        </w:rPr>
        <w:t>tjera</w:t>
      </w:r>
      <w:proofErr w:type="spellEnd"/>
    </w:p>
    <w:p w:rsidR="00C17F28" w:rsidRPr="006C67F5" w:rsidRDefault="00C17F28" w:rsidP="006C67F5">
      <w:pPr>
        <w:widowControl/>
        <w:numPr>
          <w:ilvl w:val="0"/>
          <w:numId w:val="4"/>
        </w:numPr>
        <w:autoSpaceDE/>
        <w:autoSpaceDN/>
        <w:spacing w:before="60" w:line="276" w:lineRule="auto"/>
        <w:jc w:val="both"/>
        <w:rPr>
          <w:iCs/>
        </w:rPr>
      </w:pPr>
      <w:r w:rsidRPr="006C67F5">
        <w:rPr>
          <w:iCs/>
        </w:rPr>
        <w:t>Kurset dhe trajnimet tjera gjatë karrierës profesionale</w:t>
      </w:r>
    </w:p>
    <w:p w:rsidR="00C17F28" w:rsidRPr="006C67F5" w:rsidRDefault="00C17F28" w:rsidP="006C67F5">
      <w:pPr>
        <w:widowControl/>
        <w:numPr>
          <w:ilvl w:val="0"/>
          <w:numId w:val="4"/>
        </w:numPr>
        <w:autoSpaceDE/>
        <w:autoSpaceDN/>
        <w:spacing w:before="60" w:line="276" w:lineRule="auto"/>
        <w:jc w:val="both"/>
        <w:rPr>
          <w:iCs/>
        </w:rPr>
      </w:pPr>
      <w:r w:rsidRPr="006C67F5">
        <w:rPr>
          <w:iCs/>
        </w:rPr>
        <w:t>Preferohet Master ne Ekonomik, Jurdik ose administratë.</w:t>
      </w:r>
    </w:p>
    <w:p w:rsidR="00C17F28" w:rsidRPr="006C67F5" w:rsidRDefault="00C17F28" w:rsidP="006C67F5">
      <w:pPr>
        <w:widowControl/>
        <w:numPr>
          <w:ilvl w:val="0"/>
          <w:numId w:val="4"/>
        </w:numPr>
        <w:autoSpaceDE/>
        <w:autoSpaceDN/>
        <w:spacing w:before="60" w:line="276" w:lineRule="auto"/>
        <w:jc w:val="both"/>
        <w:rPr>
          <w:iCs/>
        </w:rPr>
      </w:pPr>
      <w:r w:rsidRPr="006C67F5">
        <w:rPr>
          <w:bCs/>
        </w:rPr>
        <w:t xml:space="preserve">Preferohet të ketë njohuri në përdorimin e sistemeve informative, sidomos përdorimin dhe aplikimin e Modulit të Burimeve Njerëzore. </w:t>
      </w:r>
    </w:p>
    <w:p w:rsidR="00C17F28" w:rsidRPr="006C67F5" w:rsidRDefault="00C17F28" w:rsidP="00C17F28">
      <w:pPr>
        <w:spacing w:before="100" w:beforeAutospacing="1" w:line="276" w:lineRule="auto"/>
        <w:jc w:val="both"/>
        <w:rPr>
          <w:b/>
          <w:bCs/>
        </w:rPr>
      </w:pPr>
      <w:r w:rsidRPr="006C67F5">
        <w:rPr>
          <w:b/>
          <w:bCs/>
          <w:u w:val="single"/>
        </w:rPr>
        <w:t>Kërkesat e posaçme:</w:t>
      </w:r>
      <w:r w:rsidRPr="006C67F5">
        <w:t>Vetiniciativë, aftësi komunikimi, punë në grupe dhe aftësi koordinimi;</w:t>
      </w:r>
    </w:p>
    <w:p w:rsidR="00C17F28" w:rsidRPr="006C67F5" w:rsidRDefault="00C17F28" w:rsidP="006C67F5">
      <w:pPr>
        <w:pStyle w:val="ListParagraph"/>
        <w:widowControl/>
        <w:numPr>
          <w:ilvl w:val="0"/>
          <w:numId w:val="5"/>
        </w:numPr>
        <w:autoSpaceDE/>
        <w:autoSpaceDN/>
        <w:spacing w:before="100" w:beforeAutospacing="1" w:line="276" w:lineRule="auto"/>
        <w:contextualSpacing/>
        <w:jc w:val="both"/>
        <w:rPr>
          <w:b/>
          <w:bCs/>
        </w:rPr>
      </w:pPr>
      <w:r w:rsidRPr="006C67F5">
        <w:t>Aftësi të vendos për prioritetet dhe strukturën e punës si dhe aftësi të menaxhojë kohën dhe përmbush afatet;</w:t>
      </w:r>
    </w:p>
    <w:p w:rsidR="00C17F28" w:rsidRPr="006C67F5" w:rsidRDefault="00C17F28" w:rsidP="006C67F5">
      <w:pPr>
        <w:pStyle w:val="ListParagraph"/>
        <w:widowControl/>
        <w:numPr>
          <w:ilvl w:val="0"/>
          <w:numId w:val="5"/>
        </w:numPr>
        <w:autoSpaceDE/>
        <w:autoSpaceDN/>
        <w:spacing w:before="100" w:beforeAutospacing="1" w:line="276" w:lineRule="auto"/>
        <w:contextualSpacing/>
        <w:jc w:val="both"/>
        <w:rPr>
          <w:b/>
          <w:bCs/>
        </w:rPr>
      </w:pPr>
      <w:r w:rsidRPr="006C67F5">
        <w:t>Bashkëpunim i ngushtë me të tjerët brenda dhe jashtë Ndërmarrjes për zhvillimin e BNJ;</w:t>
      </w:r>
    </w:p>
    <w:p w:rsidR="00C17F28" w:rsidRPr="006C67F5" w:rsidRDefault="00C17F28" w:rsidP="006C67F5">
      <w:pPr>
        <w:pStyle w:val="ListParagraph"/>
        <w:widowControl/>
        <w:numPr>
          <w:ilvl w:val="0"/>
          <w:numId w:val="5"/>
        </w:numPr>
        <w:autoSpaceDE/>
        <w:autoSpaceDN/>
        <w:spacing w:before="100" w:beforeAutospacing="1" w:line="276" w:lineRule="auto"/>
        <w:contextualSpacing/>
        <w:jc w:val="both"/>
        <w:rPr>
          <w:b/>
          <w:bCs/>
        </w:rPr>
      </w:pPr>
      <w:r w:rsidRPr="006C67F5">
        <w:t>Shkathtësi ndërnjerëzore që reflektojnë objektivitet dhe diskrecion;</w:t>
      </w:r>
    </w:p>
    <w:p w:rsidR="00C17F28" w:rsidRPr="006C67F5" w:rsidRDefault="00C17F28" w:rsidP="006C67F5">
      <w:pPr>
        <w:pStyle w:val="ListParagraph"/>
        <w:widowControl/>
        <w:numPr>
          <w:ilvl w:val="0"/>
          <w:numId w:val="5"/>
        </w:numPr>
        <w:autoSpaceDE/>
        <w:autoSpaceDN/>
        <w:spacing w:before="100" w:beforeAutospacing="1" w:line="276" w:lineRule="auto"/>
        <w:contextualSpacing/>
        <w:jc w:val="both"/>
        <w:rPr>
          <w:b/>
          <w:bCs/>
        </w:rPr>
      </w:pPr>
      <w:r w:rsidRPr="006C67F5">
        <w:t xml:space="preserve">Vetëiniciativë për hartimin e dokumenteve të nevojshme për Burimet Njerëzore bazuar në praktika të mira, duke lehtësuar procedurat mbi çështje të ndryshme organizative Brenda Ndërmarrjes. </w:t>
      </w:r>
    </w:p>
    <w:p w:rsidR="00525EFD" w:rsidRPr="006C67F5" w:rsidRDefault="00525EFD" w:rsidP="006C67F5">
      <w:pPr>
        <w:pStyle w:val="Title"/>
        <w:spacing w:line="276" w:lineRule="auto"/>
        <w:ind w:left="720"/>
        <w:jc w:val="both"/>
        <w:rPr>
          <w:b w:val="0"/>
          <w:bCs w:val="0"/>
          <w:iCs/>
          <w:sz w:val="22"/>
          <w:szCs w:val="22"/>
        </w:rPr>
      </w:pPr>
    </w:p>
    <w:p w:rsidR="006D1905" w:rsidRPr="006C67F5" w:rsidRDefault="006D1905" w:rsidP="00B11826">
      <w:pPr>
        <w:pBdr>
          <w:top w:val="dotted" w:sz="4" w:space="1" w:color="auto"/>
        </w:pBdr>
        <w:spacing w:before="60" w:after="60"/>
        <w:jc w:val="both"/>
        <w:rPr>
          <w:b/>
          <w:bCs/>
          <w:u w:val="single"/>
        </w:rPr>
      </w:pPr>
    </w:p>
    <w:p w:rsidR="00D35F74" w:rsidRPr="006C67F5" w:rsidRDefault="00D35F74" w:rsidP="00D35F74">
      <w:pPr>
        <w:spacing w:line="276" w:lineRule="auto"/>
        <w:ind w:left="100"/>
        <w:jc w:val="both"/>
        <w:outlineLvl w:val="0"/>
        <w:rPr>
          <w:rFonts w:eastAsia="TeXGyrePagella"/>
          <w:b/>
          <w:bCs/>
        </w:rPr>
      </w:pPr>
      <w:r w:rsidRPr="006C67F5">
        <w:rPr>
          <w:rFonts w:eastAsia="TeXGyrePagella"/>
          <w:b/>
          <w:bCs/>
        </w:rPr>
        <w:t>Mënyra e konkurimit:</w:t>
      </w:r>
    </w:p>
    <w:p w:rsidR="00D35F74" w:rsidRPr="006C67F5" w:rsidRDefault="00D35F74" w:rsidP="00D35F74">
      <w:pPr>
        <w:spacing w:before="156" w:line="276" w:lineRule="auto"/>
        <w:ind w:left="459" w:right="108"/>
        <w:jc w:val="both"/>
        <w:rPr>
          <w:rFonts w:eastAsia="TeXGyrePagella"/>
        </w:rPr>
      </w:pPr>
      <w:r w:rsidRPr="006C67F5">
        <w:rPr>
          <w:rFonts w:eastAsia="TeXGyrePagella"/>
        </w:rPr>
        <w:t xml:space="preserve">Kandidatët e interesuar, formularin zyrtar mund ta marrin në zyret e Burimeve Njerëzore të Ndërmarrjes Publike Banesore apo ta shkarkojnë nga web faqja e internetit në adresën: </w:t>
      </w:r>
      <w:hyperlink r:id="rId7" w:history="1">
        <w:r w:rsidRPr="006C67F5">
          <w:rPr>
            <w:rFonts w:eastAsia="TeXGyrePagella"/>
            <w:color w:val="0000FF" w:themeColor="hyperlink"/>
            <w:u w:val="single" w:color="0462C1"/>
          </w:rPr>
          <w:t>www.npbanesore.com</w:t>
        </w:r>
      </w:hyperlink>
      <w:r w:rsidRPr="006C67F5">
        <w:rPr>
          <w:rFonts w:eastAsia="TeXGyrePagella"/>
          <w:color w:val="0462C1"/>
          <w:u w:val="single" w:color="0462C1"/>
        </w:rPr>
        <w:t>/shpalljet/mundesi-punesimi/</w:t>
      </w:r>
      <w:r w:rsidRPr="006C67F5">
        <w:rPr>
          <w:rFonts w:eastAsia="TeXGyrePagella"/>
          <w:color w:val="0462C1"/>
          <w:spacing w:val="-4"/>
        </w:rPr>
        <w:t xml:space="preserve"> </w:t>
      </w:r>
      <w:r w:rsidRPr="006C67F5">
        <w:rPr>
          <w:rFonts w:eastAsia="TeXGyrePagella"/>
        </w:rPr>
        <w:t>.</w:t>
      </w:r>
      <w:r w:rsidRPr="006C67F5">
        <w:rPr>
          <w:rFonts w:eastAsia="TeXGyrePagella"/>
          <w:spacing w:val="-7"/>
        </w:rPr>
        <w:t xml:space="preserve"> </w:t>
      </w:r>
      <w:r w:rsidRPr="006C67F5">
        <w:rPr>
          <w:rFonts w:eastAsia="TeXGyrePagella"/>
        </w:rPr>
        <w:t>Dokumentacionin</w:t>
      </w:r>
      <w:r w:rsidRPr="006C67F5">
        <w:rPr>
          <w:rFonts w:eastAsia="TeXGyrePagella"/>
          <w:spacing w:val="-3"/>
        </w:rPr>
        <w:t xml:space="preserve"> </w:t>
      </w:r>
      <w:r w:rsidRPr="006C67F5">
        <w:rPr>
          <w:rFonts w:eastAsia="TeXGyrePagella"/>
        </w:rPr>
        <w:t>mund</w:t>
      </w:r>
      <w:r w:rsidRPr="006C67F5">
        <w:rPr>
          <w:rFonts w:eastAsia="TeXGyrePagella"/>
          <w:spacing w:val="-5"/>
        </w:rPr>
        <w:t xml:space="preserve"> </w:t>
      </w:r>
      <w:r w:rsidRPr="006C67F5">
        <w:rPr>
          <w:rFonts w:eastAsia="TeXGyrePagella"/>
        </w:rPr>
        <w:t>ta</w:t>
      </w:r>
      <w:r w:rsidRPr="006C67F5">
        <w:rPr>
          <w:rFonts w:eastAsia="TeXGyrePagella"/>
          <w:spacing w:val="-11"/>
        </w:rPr>
        <w:t xml:space="preserve"> </w:t>
      </w:r>
      <w:r w:rsidRPr="006C67F5">
        <w:rPr>
          <w:rFonts w:eastAsia="TeXGyrePagella"/>
        </w:rPr>
        <w:t>paraqesin</w:t>
      </w:r>
      <w:r w:rsidRPr="006C67F5">
        <w:rPr>
          <w:rFonts w:eastAsia="TeXGyrePagella"/>
          <w:spacing w:val="-6"/>
        </w:rPr>
        <w:t xml:space="preserve"> </w:t>
      </w:r>
      <w:r w:rsidRPr="006C67F5">
        <w:rPr>
          <w:rFonts w:eastAsia="TeXGyrePagella"/>
        </w:rPr>
        <w:t>në</w:t>
      </w:r>
      <w:r w:rsidRPr="006C67F5">
        <w:rPr>
          <w:rFonts w:eastAsia="TeXGyrePagella"/>
          <w:spacing w:val="-10"/>
        </w:rPr>
        <w:t xml:space="preserve"> </w:t>
      </w:r>
      <w:r w:rsidRPr="006C67F5">
        <w:rPr>
          <w:rFonts w:eastAsia="TeXGyrePagella"/>
        </w:rPr>
        <w:t>kopje</w:t>
      </w:r>
      <w:r w:rsidRPr="006C67F5">
        <w:rPr>
          <w:rFonts w:eastAsia="TeXGyrePagella"/>
          <w:spacing w:val="-6"/>
        </w:rPr>
        <w:t xml:space="preserve"> </w:t>
      </w:r>
      <w:r w:rsidRPr="006C67F5">
        <w:rPr>
          <w:rFonts w:eastAsia="TeXGyrePagella"/>
        </w:rPr>
        <w:t>fizike</w:t>
      </w:r>
      <w:r w:rsidRPr="006C67F5">
        <w:rPr>
          <w:rFonts w:eastAsia="TeXGyrePagella"/>
          <w:spacing w:val="-5"/>
        </w:rPr>
        <w:t xml:space="preserve"> </w:t>
      </w:r>
      <w:r w:rsidRPr="006C67F5">
        <w:rPr>
          <w:rFonts w:eastAsia="TeXGyrePagella"/>
        </w:rPr>
        <w:t>në Divizionin e Burimeve Njerëzore në adresën: rr. Zija Shemsiu” nr.22, Ulpianë- Prishtinë, të aplikojnë përmes emailit zyrtar:</w:t>
      </w:r>
      <w:r w:rsidRPr="006C67F5">
        <w:rPr>
          <w:rFonts w:eastAsia="TeXGyrePagella"/>
          <w:spacing w:val="-8"/>
        </w:rPr>
        <w:t xml:space="preserve"> </w:t>
      </w:r>
      <w:hyperlink r:id="rId8">
        <w:r w:rsidRPr="006C67F5">
          <w:rPr>
            <w:rFonts w:eastAsia="TeXGyrePagella"/>
            <w:color w:val="0462C1"/>
            <w:u w:val="single" w:color="0462C1"/>
          </w:rPr>
          <w:t>burimet.njerezore@npbanesore.com</w:t>
        </w:r>
        <w:r w:rsidRPr="006C67F5">
          <w:rPr>
            <w:rFonts w:eastAsia="TeXGyrePagella"/>
            <w:color w:val="0462C1"/>
            <w:spacing w:val="-8"/>
          </w:rPr>
          <w:t xml:space="preserve"> </w:t>
        </w:r>
      </w:hyperlink>
      <w:r w:rsidRPr="006C67F5">
        <w:rPr>
          <w:rFonts w:eastAsia="TeXGyrePagella"/>
        </w:rPr>
        <w:t>apo</w:t>
      </w:r>
      <w:r w:rsidRPr="006C67F5">
        <w:rPr>
          <w:rFonts w:eastAsia="TeXGyrePagella"/>
          <w:spacing w:val="-15"/>
        </w:rPr>
        <w:t xml:space="preserve"> </w:t>
      </w:r>
      <w:r w:rsidRPr="006C67F5">
        <w:rPr>
          <w:rFonts w:eastAsia="TeXGyrePagella"/>
        </w:rPr>
        <w:t>përmes</w:t>
      </w:r>
      <w:r w:rsidRPr="006C67F5">
        <w:rPr>
          <w:rFonts w:eastAsia="TeXGyrePagella"/>
          <w:spacing w:val="-12"/>
        </w:rPr>
        <w:t xml:space="preserve"> </w:t>
      </w:r>
      <w:r w:rsidRPr="006C67F5">
        <w:rPr>
          <w:rFonts w:eastAsia="TeXGyrePagella"/>
        </w:rPr>
        <w:t>postës.</w:t>
      </w:r>
      <w:r w:rsidRPr="006C67F5">
        <w:rPr>
          <w:rFonts w:eastAsia="TeXGyrePagella"/>
          <w:spacing w:val="-7"/>
        </w:rPr>
        <w:t xml:space="preserve"> </w:t>
      </w:r>
      <w:r w:rsidRPr="006C67F5">
        <w:rPr>
          <w:rFonts w:eastAsia="TeXGyrePagella"/>
        </w:rPr>
        <w:t>Kandidatët</w:t>
      </w:r>
      <w:r w:rsidRPr="006C67F5">
        <w:rPr>
          <w:rFonts w:eastAsia="TeXGyrePagella"/>
          <w:spacing w:val="-10"/>
        </w:rPr>
        <w:t xml:space="preserve"> </w:t>
      </w:r>
      <w:r w:rsidRPr="006C67F5">
        <w:rPr>
          <w:rFonts w:eastAsia="TeXGyrePagella"/>
        </w:rPr>
        <w:t>të</w:t>
      </w:r>
      <w:r w:rsidRPr="006C67F5">
        <w:rPr>
          <w:rFonts w:eastAsia="TeXGyrePagella"/>
          <w:spacing w:val="-10"/>
        </w:rPr>
        <w:t xml:space="preserve"> </w:t>
      </w:r>
      <w:r w:rsidRPr="006C67F5">
        <w:rPr>
          <w:rFonts w:eastAsia="TeXGyrePagella"/>
        </w:rPr>
        <w:t>cilët</w:t>
      </w:r>
      <w:r w:rsidRPr="006C67F5">
        <w:rPr>
          <w:rFonts w:eastAsia="TeXGyrePagella"/>
          <w:spacing w:val="-11"/>
        </w:rPr>
        <w:t xml:space="preserve"> </w:t>
      </w:r>
      <w:r w:rsidRPr="006C67F5">
        <w:rPr>
          <w:rFonts w:eastAsia="TeXGyrePagella"/>
        </w:rPr>
        <w:t>konkurojnë</w:t>
      </w:r>
      <w:r w:rsidRPr="006C67F5">
        <w:rPr>
          <w:rFonts w:eastAsia="TeXGyrePagella"/>
          <w:spacing w:val="-10"/>
        </w:rPr>
        <w:t xml:space="preserve"> </w:t>
      </w:r>
      <w:r w:rsidRPr="006C67F5">
        <w:rPr>
          <w:rFonts w:eastAsia="TeXGyrePagella"/>
        </w:rPr>
        <w:t>duhet</w:t>
      </w:r>
      <w:r w:rsidRPr="006C67F5">
        <w:rPr>
          <w:rFonts w:eastAsia="TeXGyrePagella"/>
          <w:spacing w:val="-10"/>
        </w:rPr>
        <w:t xml:space="preserve"> </w:t>
      </w:r>
      <w:r w:rsidRPr="006C67F5">
        <w:rPr>
          <w:rFonts w:eastAsia="TeXGyrePagella"/>
          <w:spacing w:val="-3"/>
        </w:rPr>
        <w:t>të</w:t>
      </w:r>
      <w:r w:rsidRPr="006C67F5">
        <w:rPr>
          <w:rFonts w:eastAsia="TeXGyrePagella"/>
          <w:spacing w:val="-11"/>
        </w:rPr>
        <w:t xml:space="preserve"> </w:t>
      </w:r>
      <w:r w:rsidRPr="006C67F5">
        <w:rPr>
          <w:rFonts w:eastAsia="TeXGyrePagella"/>
        </w:rPr>
        <w:t>shënojnë saktë</w:t>
      </w:r>
      <w:r w:rsidRPr="006C67F5">
        <w:rPr>
          <w:rFonts w:eastAsia="TeXGyrePagella"/>
          <w:spacing w:val="-10"/>
        </w:rPr>
        <w:t xml:space="preserve"> </w:t>
      </w:r>
      <w:r w:rsidRPr="006C67F5">
        <w:rPr>
          <w:rFonts w:eastAsia="TeXGyrePagella"/>
        </w:rPr>
        <w:t>adresën,</w:t>
      </w:r>
      <w:r w:rsidRPr="006C67F5">
        <w:rPr>
          <w:rFonts w:eastAsia="TeXGyrePagella"/>
          <w:spacing w:val="-6"/>
        </w:rPr>
        <w:t xml:space="preserve"> </w:t>
      </w:r>
      <w:r w:rsidRPr="006C67F5">
        <w:rPr>
          <w:rFonts w:eastAsia="TeXGyrePagella"/>
        </w:rPr>
        <w:t>numrin</w:t>
      </w:r>
      <w:r w:rsidRPr="006C67F5">
        <w:rPr>
          <w:rFonts w:eastAsia="TeXGyrePagella"/>
          <w:spacing w:val="-7"/>
        </w:rPr>
        <w:t xml:space="preserve"> </w:t>
      </w:r>
      <w:r w:rsidRPr="006C67F5">
        <w:rPr>
          <w:rFonts w:eastAsia="TeXGyrePagella"/>
        </w:rPr>
        <w:t>e</w:t>
      </w:r>
      <w:r w:rsidRPr="006C67F5">
        <w:rPr>
          <w:rFonts w:eastAsia="TeXGyrePagella"/>
          <w:spacing w:val="-4"/>
        </w:rPr>
        <w:t xml:space="preserve"> </w:t>
      </w:r>
      <w:r w:rsidRPr="006C67F5">
        <w:rPr>
          <w:rFonts w:eastAsia="TeXGyrePagella"/>
        </w:rPr>
        <w:t>telefonit</w:t>
      </w:r>
      <w:r w:rsidRPr="006C67F5">
        <w:rPr>
          <w:rFonts w:eastAsia="TeXGyrePagella"/>
          <w:spacing w:val="-4"/>
        </w:rPr>
        <w:t xml:space="preserve"> </w:t>
      </w:r>
      <w:r w:rsidRPr="006C67F5">
        <w:rPr>
          <w:rFonts w:eastAsia="TeXGyrePagella"/>
        </w:rPr>
        <w:t>kontaktues</w:t>
      </w:r>
      <w:r w:rsidRPr="006C67F5">
        <w:rPr>
          <w:rFonts w:eastAsia="TeXGyrePagella"/>
          <w:spacing w:val="-6"/>
        </w:rPr>
        <w:t xml:space="preserve"> </w:t>
      </w:r>
      <w:r w:rsidRPr="006C67F5">
        <w:rPr>
          <w:rFonts w:eastAsia="TeXGyrePagella"/>
        </w:rPr>
        <w:t>si</w:t>
      </w:r>
      <w:r w:rsidRPr="006C67F5">
        <w:rPr>
          <w:rFonts w:eastAsia="TeXGyrePagella"/>
          <w:spacing w:val="-5"/>
        </w:rPr>
        <w:t xml:space="preserve"> </w:t>
      </w:r>
      <w:r w:rsidRPr="006C67F5">
        <w:rPr>
          <w:rFonts w:eastAsia="TeXGyrePagella"/>
        </w:rPr>
        <w:t>dhe</w:t>
      </w:r>
      <w:r w:rsidRPr="006C67F5">
        <w:rPr>
          <w:rFonts w:eastAsia="TeXGyrePagella"/>
          <w:spacing w:val="-4"/>
        </w:rPr>
        <w:t xml:space="preserve"> </w:t>
      </w:r>
      <w:r w:rsidRPr="006C67F5">
        <w:rPr>
          <w:rFonts w:eastAsia="TeXGyrePagella"/>
        </w:rPr>
        <w:t>email</w:t>
      </w:r>
      <w:r w:rsidRPr="006C67F5">
        <w:rPr>
          <w:rFonts w:eastAsia="TeXGyrePagella"/>
          <w:spacing w:val="-5"/>
        </w:rPr>
        <w:t xml:space="preserve"> </w:t>
      </w:r>
      <w:r w:rsidRPr="006C67F5">
        <w:rPr>
          <w:rFonts w:eastAsia="TeXGyrePagella"/>
        </w:rPr>
        <w:t>adresën.</w:t>
      </w:r>
      <w:r w:rsidRPr="006C67F5">
        <w:rPr>
          <w:rFonts w:eastAsia="TeXGyrePagella"/>
          <w:spacing w:val="-2"/>
        </w:rPr>
        <w:t xml:space="preserve"> </w:t>
      </w:r>
      <w:r w:rsidRPr="006C67F5">
        <w:rPr>
          <w:rFonts w:eastAsia="TeXGyrePagella"/>
        </w:rPr>
        <w:t>Vetëm</w:t>
      </w:r>
      <w:r w:rsidRPr="006C67F5">
        <w:rPr>
          <w:rFonts w:eastAsia="TeXGyrePagella"/>
          <w:spacing w:val="-3"/>
        </w:rPr>
        <w:t xml:space="preserve"> </w:t>
      </w:r>
      <w:r w:rsidRPr="006C67F5">
        <w:rPr>
          <w:rFonts w:eastAsia="TeXGyrePagella"/>
        </w:rPr>
        <w:t>kandidatët</w:t>
      </w:r>
      <w:r w:rsidRPr="006C67F5">
        <w:rPr>
          <w:rFonts w:eastAsia="TeXGyrePagella"/>
          <w:spacing w:val="-4"/>
        </w:rPr>
        <w:t xml:space="preserve"> </w:t>
      </w:r>
      <w:r w:rsidRPr="006C67F5">
        <w:rPr>
          <w:rFonts w:eastAsia="TeXGyrePagella"/>
        </w:rPr>
        <w:t>e</w:t>
      </w:r>
      <w:r w:rsidRPr="006C67F5">
        <w:rPr>
          <w:rFonts w:eastAsia="TeXGyrePagella"/>
          <w:spacing w:val="-9"/>
        </w:rPr>
        <w:t xml:space="preserve"> </w:t>
      </w:r>
      <w:r w:rsidRPr="006C67F5">
        <w:rPr>
          <w:rFonts w:eastAsia="TeXGyrePagella"/>
        </w:rPr>
        <w:t>përzgjedhur</w:t>
      </w:r>
      <w:r w:rsidRPr="006C67F5">
        <w:rPr>
          <w:rFonts w:eastAsia="TeXGyrePagella"/>
          <w:spacing w:val="-9"/>
        </w:rPr>
        <w:t xml:space="preserve"> </w:t>
      </w:r>
      <w:r w:rsidRPr="006C67F5">
        <w:rPr>
          <w:rFonts w:eastAsia="TeXGyrePagella"/>
        </w:rPr>
        <w:t>do</w:t>
      </w:r>
      <w:r w:rsidRPr="006C67F5">
        <w:rPr>
          <w:rFonts w:eastAsia="TeXGyrePagella"/>
          <w:spacing w:val="-5"/>
        </w:rPr>
        <w:t xml:space="preserve"> </w:t>
      </w:r>
      <w:r w:rsidRPr="006C67F5">
        <w:rPr>
          <w:rFonts w:eastAsia="TeXGyrePagella"/>
        </w:rPr>
        <w:t>të</w:t>
      </w:r>
      <w:r w:rsidRPr="006C67F5">
        <w:rPr>
          <w:rFonts w:eastAsia="TeXGyrePagella"/>
          <w:spacing w:val="-4"/>
        </w:rPr>
        <w:t xml:space="preserve"> </w:t>
      </w:r>
      <w:r w:rsidRPr="006C67F5">
        <w:rPr>
          <w:rFonts w:eastAsia="TeXGyrePagella"/>
        </w:rPr>
        <w:t>ftohen për intervistë.</w:t>
      </w:r>
    </w:p>
    <w:p w:rsidR="00D35F74" w:rsidRPr="006C67F5" w:rsidRDefault="00D35F74" w:rsidP="00D35F74">
      <w:pPr>
        <w:spacing w:before="136" w:line="276" w:lineRule="auto"/>
        <w:ind w:left="100"/>
        <w:jc w:val="both"/>
        <w:rPr>
          <w:rFonts w:eastAsia="TeXGyrePagella"/>
        </w:rPr>
      </w:pPr>
      <w:r w:rsidRPr="006C67F5">
        <w:rPr>
          <w:rFonts w:eastAsia="TeXGyrePagella"/>
        </w:rPr>
        <w:lastRenderedPageBreak/>
        <w:t>Aplikacionit i duhet bashkangjitur:</w:t>
      </w:r>
    </w:p>
    <w:p w:rsidR="00D35F74" w:rsidRPr="006C67F5" w:rsidRDefault="00D35F74" w:rsidP="006C67F5">
      <w:pPr>
        <w:numPr>
          <w:ilvl w:val="0"/>
          <w:numId w:val="1"/>
        </w:numPr>
        <w:tabs>
          <w:tab w:val="left" w:pos="820"/>
          <w:tab w:val="left" w:pos="821"/>
        </w:tabs>
        <w:spacing w:line="276" w:lineRule="auto"/>
        <w:ind w:hanging="361"/>
        <w:rPr>
          <w:rFonts w:eastAsia="TeXGyrePagella"/>
        </w:rPr>
      </w:pPr>
      <w:r w:rsidRPr="006C67F5">
        <w:rPr>
          <w:rFonts w:eastAsia="TeXGyrePagella"/>
        </w:rPr>
        <w:t>Formulari për aplikim i</w:t>
      </w:r>
      <w:r w:rsidRPr="006C67F5">
        <w:rPr>
          <w:rFonts w:eastAsia="TeXGyrePagella"/>
          <w:spacing w:val="2"/>
        </w:rPr>
        <w:t xml:space="preserve"> </w:t>
      </w:r>
      <w:r w:rsidRPr="006C67F5">
        <w:rPr>
          <w:rFonts w:eastAsia="TeXGyrePagella"/>
        </w:rPr>
        <w:t>NPB-së;</w:t>
      </w:r>
    </w:p>
    <w:p w:rsidR="00D35F74" w:rsidRPr="006C67F5" w:rsidRDefault="00D35F74" w:rsidP="006C67F5">
      <w:pPr>
        <w:numPr>
          <w:ilvl w:val="0"/>
          <w:numId w:val="1"/>
        </w:numPr>
        <w:tabs>
          <w:tab w:val="left" w:pos="820"/>
          <w:tab w:val="left" w:pos="821"/>
        </w:tabs>
        <w:spacing w:line="276" w:lineRule="auto"/>
        <w:ind w:hanging="361"/>
        <w:rPr>
          <w:rFonts w:eastAsia="TeXGyrePagella"/>
        </w:rPr>
      </w:pPr>
      <w:r w:rsidRPr="006C67F5">
        <w:rPr>
          <w:rFonts w:eastAsia="TeXGyrePagella"/>
        </w:rPr>
        <w:t>Dëshmitë për kualifikimin</w:t>
      </w:r>
      <w:r w:rsidRPr="006C67F5">
        <w:rPr>
          <w:rFonts w:eastAsia="TeXGyrePagella"/>
          <w:spacing w:val="5"/>
        </w:rPr>
        <w:t xml:space="preserve"> </w:t>
      </w:r>
      <w:r w:rsidRPr="006C67F5">
        <w:rPr>
          <w:rFonts w:eastAsia="TeXGyrePagella"/>
        </w:rPr>
        <w:t>shkollor;</w:t>
      </w:r>
    </w:p>
    <w:p w:rsidR="00D35F74" w:rsidRPr="006C67F5" w:rsidRDefault="00D35F74" w:rsidP="006C67F5">
      <w:pPr>
        <w:numPr>
          <w:ilvl w:val="0"/>
          <w:numId w:val="1"/>
        </w:numPr>
        <w:tabs>
          <w:tab w:val="left" w:pos="820"/>
          <w:tab w:val="left" w:pos="821"/>
        </w:tabs>
        <w:spacing w:line="276" w:lineRule="auto"/>
        <w:ind w:hanging="361"/>
        <w:rPr>
          <w:rFonts w:eastAsia="TeXGyrePagella"/>
        </w:rPr>
      </w:pPr>
      <w:r w:rsidRPr="006C67F5">
        <w:rPr>
          <w:rFonts w:eastAsia="TeXGyrePagella"/>
        </w:rPr>
        <w:t>Dëshmitë për përvojën e punës</w:t>
      </w:r>
      <w:r w:rsidRPr="006C67F5">
        <w:rPr>
          <w:rFonts w:eastAsia="TeXGyrePagella"/>
          <w:spacing w:val="-13"/>
        </w:rPr>
        <w:t>;</w:t>
      </w:r>
    </w:p>
    <w:p w:rsidR="00D35F74" w:rsidRPr="006C67F5" w:rsidRDefault="00D35F74" w:rsidP="006C67F5">
      <w:pPr>
        <w:numPr>
          <w:ilvl w:val="0"/>
          <w:numId w:val="1"/>
        </w:numPr>
        <w:tabs>
          <w:tab w:val="left" w:pos="820"/>
          <w:tab w:val="left" w:pos="821"/>
        </w:tabs>
        <w:spacing w:line="276" w:lineRule="auto"/>
        <w:ind w:hanging="361"/>
        <w:rPr>
          <w:rFonts w:eastAsia="TeXGyrePagella"/>
        </w:rPr>
      </w:pPr>
      <w:r w:rsidRPr="006C67F5">
        <w:rPr>
          <w:rFonts w:eastAsia="TeXGyrePagella"/>
        </w:rPr>
        <w:t>Kopjen e</w:t>
      </w:r>
      <w:r w:rsidRPr="006C67F5">
        <w:rPr>
          <w:rFonts w:eastAsia="TeXGyrePagella"/>
          <w:spacing w:val="-1"/>
        </w:rPr>
        <w:t xml:space="preserve"> </w:t>
      </w:r>
      <w:r w:rsidRPr="006C67F5">
        <w:rPr>
          <w:rFonts w:eastAsia="TeXGyrePagella"/>
        </w:rPr>
        <w:t>letërnjoftimit;</w:t>
      </w:r>
    </w:p>
    <w:p w:rsidR="00D35F74" w:rsidRPr="006C67F5" w:rsidRDefault="00D35F74" w:rsidP="006C67F5">
      <w:pPr>
        <w:numPr>
          <w:ilvl w:val="0"/>
          <w:numId w:val="1"/>
        </w:numPr>
        <w:tabs>
          <w:tab w:val="left" w:pos="820"/>
          <w:tab w:val="left" w:pos="821"/>
        </w:tabs>
        <w:spacing w:line="276" w:lineRule="auto"/>
        <w:ind w:hanging="361"/>
        <w:rPr>
          <w:rFonts w:eastAsia="TeXGyrePagella"/>
        </w:rPr>
      </w:pPr>
      <w:r w:rsidRPr="006C67F5">
        <w:rPr>
          <w:rFonts w:eastAsia="TeXGyrePagella"/>
        </w:rPr>
        <w:t xml:space="preserve">Çertifikatën nga Gjykata e cila dëshmon që nuk është i/e dënuar ( </w:t>
      </w:r>
      <w:r w:rsidR="00253B1D" w:rsidRPr="006C67F5">
        <w:rPr>
          <w:rFonts w:eastAsia="TeXGyrePagella"/>
        </w:rPr>
        <w:t>jo më e vjetë</w:t>
      </w:r>
      <w:r w:rsidRPr="006C67F5">
        <w:rPr>
          <w:rFonts w:eastAsia="TeXGyrePagella"/>
        </w:rPr>
        <w:t>r se 6 muaj)</w:t>
      </w:r>
    </w:p>
    <w:p w:rsidR="00D35F74" w:rsidRPr="006C67F5" w:rsidRDefault="00D35F74" w:rsidP="00D35F74">
      <w:pPr>
        <w:spacing w:before="139" w:line="276" w:lineRule="auto"/>
        <w:ind w:left="100" w:right="125"/>
        <w:jc w:val="both"/>
        <w:rPr>
          <w:rFonts w:eastAsia="TeXGyrePagella"/>
          <w:i/>
        </w:rPr>
      </w:pPr>
      <w:r w:rsidRPr="006C67F5">
        <w:rPr>
          <w:rFonts w:eastAsia="TeXGyrePagella"/>
          <w:b/>
          <w:i/>
        </w:rPr>
        <w:t xml:space="preserve">Shënim: </w:t>
      </w:r>
      <w:r w:rsidRPr="006C67F5">
        <w:rPr>
          <w:rFonts w:eastAsia="TeXGyrePagella"/>
          <w:i/>
        </w:rPr>
        <w:t>Aplikacionet e dërguara me postë, të cilat mbajnë vulën postare mbi dërgesën e bërë ditën e fundit të afatit për aplikim, do të konsiderohen të vlefshme dhe do të merren në shqyrtim nëse arrijnë brenda tri (2) ditësh. Aplikacionet që arrijnë pas këtij afati dhe ato të pakompletuara me dokumentacionin përkatës nuk do të shqyrtohen.</w:t>
      </w:r>
    </w:p>
    <w:p w:rsidR="00D35F74" w:rsidRPr="006C67F5" w:rsidRDefault="00D35F74" w:rsidP="00D35F74">
      <w:pPr>
        <w:spacing w:before="152" w:line="276" w:lineRule="auto"/>
        <w:ind w:left="100" w:right="112"/>
        <w:jc w:val="both"/>
        <w:outlineLvl w:val="0"/>
        <w:rPr>
          <w:rFonts w:eastAsia="TeXGyrePagella"/>
          <w:b/>
          <w:bCs/>
        </w:rPr>
      </w:pPr>
      <w:r w:rsidRPr="006C67F5">
        <w:rPr>
          <w:rFonts w:eastAsia="TeXGyrePagella"/>
          <w:b/>
          <w:bCs/>
          <w:u w:val="single"/>
        </w:rPr>
        <w:t>APLIKACIONET DHE DOKUMENTACIONI I PAKOMPLETUAR SIPAS KËRKESAVE TË</w:t>
      </w:r>
      <w:r w:rsidRPr="006C67F5">
        <w:rPr>
          <w:rFonts w:eastAsia="TeXGyrePagella"/>
          <w:b/>
          <w:bCs/>
        </w:rPr>
        <w:t xml:space="preserve"> </w:t>
      </w:r>
      <w:r w:rsidRPr="006C67F5">
        <w:rPr>
          <w:rFonts w:eastAsia="TeXGyrePagella"/>
          <w:b/>
          <w:bCs/>
          <w:u w:val="single"/>
        </w:rPr>
        <w:t>PËRCAKTUARA NË KËTË SHPALLJE SI DHE ATO QË ARRIJNË PAS SKADIMIT TË AFATIT TË</w:t>
      </w:r>
      <w:r w:rsidRPr="006C67F5">
        <w:rPr>
          <w:rFonts w:eastAsia="TeXGyrePagella"/>
          <w:b/>
          <w:bCs/>
        </w:rPr>
        <w:t xml:space="preserve"> </w:t>
      </w:r>
      <w:r w:rsidRPr="006C67F5">
        <w:rPr>
          <w:rFonts w:eastAsia="TeXGyrePagella"/>
          <w:b/>
          <w:bCs/>
          <w:u w:val="single"/>
        </w:rPr>
        <w:t>KONKURSIT, NUK DO TË SHQYRTOHEN.</w:t>
      </w:r>
    </w:p>
    <w:p w:rsidR="00D35F74" w:rsidRPr="006C67F5" w:rsidRDefault="00D35F74" w:rsidP="00D35F74">
      <w:pPr>
        <w:spacing w:before="131" w:line="276" w:lineRule="auto"/>
        <w:ind w:left="100"/>
        <w:jc w:val="both"/>
        <w:rPr>
          <w:rFonts w:eastAsia="TeXGyrePagella"/>
          <w:b/>
        </w:rPr>
      </w:pPr>
      <w:r w:rsidRPr="006C67F5">
        <w:rPr>
          <w:rFonts w:eastAsia="TeXGyrePagella"/>
          <w:b/>
        </w:rPr>
        <w:t>Shpallja është e hapur që nga 03.11.2021-17.11.2021</w:t>
      </w:r>
    </w:p>
    <w:p w:rsidR="00D35F74" w:rsidRPr="006C67F5" w:rsidRDefault="00D35F74" w:rsidP="00D35F74">
      <w:pPr>
        <w:spacing w:before="142" w:line="276" w:lineRule="auto"/>
        <w:ind w:left="100" w:right="112"/>
        <w:jc w:val="both"/>
        <w:rPr>
          <w:rFonts w:eastAsia="TeXGyrePagella"/>
          <w:b/>
        </w:rPr>
      </w:pPr>
      <w:r w:rsidRPr="006C67F5">
        <w:rPr>
          <w:rFonts w:eastAsia="TeXGyrePagella"/>
          <w:b/>
        </w:rPr>
        <w:t>Për informata më të hollësishme mund të kontaktoni në Divizionin e Burimeve Njerëzore të Ndërmarrjes Publike Banesore në nr. tel. : 038 606 672.</w:t>
      </w:r>
    </w:p>
    <w:p w:rsidR="00C32A62" w:rsidRPr="00525EFD" w:rsidRDefault="00C32A62" w:rsidP="00B1070D">
      <w:pPr>
        <w:pStyle w:val="ListParagraph"/>
        <w:spacing w:before="142" w:line="276" w:lineRule="auto"/>
        <w:ind w:right="112" w:firstLine="0"/>
        <w:jc w:val="both"/>
        <w:rPr>
          <w:b/>
          <w:sz w:val="24"/>
          <w:szCs w:val="24"/>
        </w:rPr>
      </w:pPr>
    </w:p>
    <w:sectPr w:rsidR="00C32A62" w:rsidRPr="00525EFD">
      <w:pgSz w:w="12240" w:h="15840"/>
      <w:pgMar w:top="4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Pagella">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783E"/>
    <w:multiLevelType w:val="hybridMultilevel"/>
    <w:tmpl w:val="CF4877EC"/>
    <w:lvl w:ilvl="0" w:tplc="FFEC95A2">
      <w:start w:val="1"/>
      <w:numFmt w:val="lowerLetter"/>
      <w:lvlText w:val="%1)"/>
      <w:lvlJc w:val="left"/>
      <w:pPr>
        <w:ind w:left="960" w:hanging="360"/>
      </w:pPr>
      <w:rPr>
        <w:rFonts w:ascii="Times New Roman" w:eastAsia="MS Mincho" w:hAnsi="Times New Roman" w:cs="Times New Roman"/>
      </w:rPr>
    </w:lvl>
    <w:lvl w:ilvl="1" w:tplc="04090003">
      <w:numFmt w:val="decimal"/>
      <w:lvlText w:val="o"/>
      <w:lvlJc w:val="left"/>
      <w:pPr>
        <w:ind w:left="1680" w:hanging="360"/>
      </w:pPr>
      <w:rPr>
        <w:rFonts w:ascii="Courier New" w:hAnsi="Courier New" w:cs="Courier New" w:hint="default"/>
      </w:rPr>
    </w:lvl>
    <w:lvl w:ilvl="2" w:tplc="04090005">
      <w:numFmt w:val="decimal"/>
      <w:lvlText w:val=""/>
      <w:lvlJc w:val="left"/>
      <w:pPr>
        <w:ind w:left="2400" w:hanging="360"/>
      </w:pPr>
      <w:rPr>
        <w:rFonts w:ascii="Wingdings" w:hAnsi="Wingdings" w:hint="default"/>
      </w:rPr>
    </w:lvl>
    <w:lvl w:ilvl="3" w:tplc="04090001">
      <w:numFmt w:val="decimal"/>
      <w:lvlText w:val=""/>
      <w:lvlJc w:val="left"/>
      <w:pPr>
        <w:ind w:left="3120" w:hanging="360"/>
      </w:pPr>
      <w:rPr>
        <w:rFonts w:ascii="Symbol" w:hAnsi="Symbol" w:hint="default"/>
      </w:rPr>
    </w:lvl>
    <w:lvl w:ilvl="4" w:tplc="04090003">
      <w:numFmt w:val="decimal"/>
      <w:lvlText w:val="o"/>
      <w:lvlJc w:val="left"/>
      <w:pPr>
        <w:ind w:left="3840" w:hanging="360"/>
      </w:pPr>
      <w:rPr>
        <w:rFonts w:ascii="Courier New" w:hAnsi="Courier New" w:cs="Courier New" w:hint="default"/>
      </w:rPr>
    </w:lvl>
    <w:lvl w:ilvl="5" w:tplc="04090005">
      <w:numFmt w:val="decimal"/>
      <w:lvlText w:val=""/>
      <w:lvlJc w:val="left"/>
      <w:pPr>
        <w:ind w:left="4560" w:hanging="360"/>
      </w:pPr>
      <w:rPr>
        <w:rFonts w:ascii="Wingdings" w:hAnsi="Wingdings" w:hint="default"/>
      </w:rPr>
    </w:lvl>
    <w:lvl w:ilvl="6" w:tplc="04090001">
      <w:numFmt w:val="decimal"/>
      <w:lvlText w:val=""/>
      <w:lvlJc w:val="left"/>
      <w:pPr>
        <w:ind w:left="5280" w:hanging="360"/>
      </w:pPr>
      <w:rPr>
        <w:rFonts w:ascii="Symbol" w:hAnsi="Symbol" w:hint="default"/>
      </w:rPr>
    </w:lvl>
    <w:lvl w:ilvl="7" w:tplc="04090003">
      <w:numFmt w:val="decimal"/>
      <w:lvlText w:val="o"/>
      <w:lvlJc w:val="left"/>
      <w:pPr>
        <w:ind w:left="6000" w:hanging="360"/>
      </w:pPr>
      <w:rPr>
        <w:rFonts w:ascii="Courier New" w:hAnsi="Courier New" w:cs="Courier New" w:hint="default"/>
      </w:rPr>
    </w:lvl>
    <w:lvl w:ilvl="8" w:tplc="04090005">
      <w:numFmt w:val="decimal"/>
      <w:lvlText w:val=""/>
      <w:lvlJc w:val="left"/>
      <w:pPr>
        <w:ind w:left="6720" w:hanging="360"/>
      </w:pPr>
      <w:rPr>
        <w:rFonts w:ascii="Wingdings" w:hAnsi="Wingdings" w:hint="default"/>
      </w:rPr>
    </w:lvl>
  </w:abstractNum>
  <w:abstractNum w:abstractNumId="1" w15:restartNumberingAfterBreak="0">
    <w:nsid w:val="1D8B1E9C"/>
    <w:multiLevelType w:val="hybridMultilevel"/>
    <w:tmpl w:val="17904B8E"/>
    <w:lvl w:ilvl="0" w:tplc="0696F304">
      <w:numFmt w:val="bullet"/>
      <w:lvlText w:val="-"/>
      <w:lvlJc w:val="left"/>
      <w:pPr>
        <w:ind w:left="820" w:hanging="360"/>
      </w:pPr>
      <w:rPr>
        <w:rFonts w:ascii="TeXGyrePagella" w:eastAsia="TeXGyrePagella" w:hAnsi="TeXGyrePagella" w:cs="TeXGyrePagella" w:hint="default"/>
        <w:w w:val="100"/>
        <w:sz w:val="22"/>
        <w:szCs w:val="22"/>
        <w:lang w:val="sq-AL" w:eastAsia="en-US" w:bidi="ar-SA"/>
      </w:rPr>
    </w:lvl>
    <w:lvl w:ilvl="1" w:tplc="9A0423A8">
      <w:numFmt w:val="bullet"/>
      <w:lvlText w:val="•"/>
      <w:lvlJc w:val="left"/>
      <w:pPr>
        <w:ind w:left="1840" w:hanging="360"/>
      </w:pPr>
      <w:rPr>
        <w:rFonts w:hint="default"/>
        <w:lang w:val="sq-AL" w:eastAsia="en-US" w:bidi="ar-SA"/>
      </w:rPr>
    </w:lvl>
    <w:lvl w:ilvl="2" w:tplc="4DBC9ED0">
      <w:numFmt w:val="bullet"/>
      <w:lvlText w:val="•"/>
      <w:lvlJc w:val="left"/>
      <w:pPr>
        <w:ind w:left="2860" w:hanging="360"/>
      </w:pPr>
      <w:rPr>
        <w:rFonts w:hint="default"/>
        <w:lang w:val="sq-AL" w:eastAsia="en-US" w:bidi="ar-SA"/>
      </w:rPr>
    </w:lvl>
    <w:lvl w:ilvl="3" w:tplc="29446318">
      <w:numFmt w:val="bullet"/>
      <w:lvlText w:val="•"/>
      <w:lvlJc w:val="left"/>
      <w:pPr>
        <w:ind w:left="3880" w:hanging="360"/>
      </w:pPr>
      <w:rPr>
        <w:rFonts w:hint="default"/>
        <w:lang w:val="sq-AL" w:eastAsia="en-US" w:bidi="ar-SA"/>
      </w:rPr>
    </w:lvl>
    <w:lvl w:ilvl="4" w:tplc="2DBA883E">
      <w:numFmt w:val="bullet"/>
      <w:lvlText w:val="•"/>
      <w:lvlJc w:val="left"/>
      <w:pPr>
        <w:ind w:left="4900" w:hanging="360"/>
      </w:pPr>
      <w:rPr>
        <w:rFonts w:hint="default"/>
        <w:lang w:val="sq-AL" w:eastAsia="en-US" w:bidi="ar-SA"/>
      </w:rPr>
    </w:lvl>
    <w:lvl w:ilvl="5" w:tplc="42C26176">
      <w:numFmt w:val="bullet"/>
      <w:lvlText w:val="•"/>
      <w:lvlJc w:val="left"/>
      <w:pPr>
        <w:ind w:left="5920" w:hanging="360"/>
      </w:pPr>
      <w:rPr>
        <w:rFonts w:hint="default"/>
        <w:lang w:val="sq-AL" w:eastAsia="en-US" w:bidi="ar-SA"/>
      </w:rPr>
    </w:lvl>
    <w:lvl w:ilvl="6" w:tplc="5A5C1040">
      <w:numFmt w:val="bullet"/>
      <w:lvlText w:val="•"/>
      <w:lvlJc w:val="left"/>
      <w:pPr>
        <w:ind w:left="6940" w:hanging="360"/>
      </w:pPr>
      <w:rPr>
        <w:rFonts w:hint="default"/>
        <w:lang w:val="sq-AL" w:eastAsia="en-US" w:bidi="ar-SA"/>
      </w:rPr>
    </w:lvl>
    <w:lvl w:ilvl="7" w:tplc="CD1E9530">
      <w:numFmt w:val="bullet"/>
      <w:lvlText w:val="•"/>
      <w:lvlJc w:val="left"/>
      <w:pPr>
        <w:ind w:left="7960" w:hanging="360"/>
      </w:pPr>
      <w:rPr>
        <w:rFonts w:hint="default"/>
        <w:lang w:val="sq-AL" w:eastAsia="en-US" w:bidi="ar-SA"/>
      </w:rPr>
    </w:lvl>
    <w:lvl w:ilvl="8" w:tplc="BCCC4D10">
      <w:numFmt w:val="bullet"/>
      <w:lvlText w:val="•"/>
      <w:lvlJc w:val="left"/>
      <w:pPr>
        <w:ind w:left="8980" w:hanging="360"/>
      </w:pPr>
      <w:rPr>
        <w:rFonts w:hint="default"/>
        <w:lang w:val="sq-AL" w:eastAsia="en-US" w:bidi="ar-SA"/>
      </w:rPr>
    </w:lvl>
  </w:abstractNum>
  <w:abstractNum w:abstractNumId="2" w15:restartNumberingAfterBreak="0">
    <w:nsid w:val="38C63DC3"/>
    <w:multiLevelType w:val="hybridMultilevel"/>
    <w:tmpl w:val="2F46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80B5C"/>
    <w:multiLevelType w:val="hybridMultilevel"/>
    <w:tmpl w:val="06403E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B74643B"/>
    <w:multiLevelType w:val="hybridMultilevel"/>
    <w:tmpl w:val="EFF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62"/>
    <w:rsid w:val="00001A89"/>
    <w:rsid w:val="00054BE3"/>
    <w:rsid w:val="00093275"/>
    <w:rsid w:val="000C6993"/>
    <w:rsid w:val="000D4FB6"/>
    <w:rsid w:val="000F313B"/>
    <w:rsid w:val="001640FD"/>
    <w:rsid w:val="0016481C"/>
    <w:rsid w:val="00182DF1"/>
    <w:rsid w:val="00196772"/>
    <w:rsid w:val="001C3FD4"/>
    <w:rsid w:val="001E2C23"/>
    <w:rsid w:val="00253B1D"/>
    <w:rsid w:val="002F2F7F"/>
    <w:rsid w:val="00302830"/>
    <w:rsid w:val="003503D0"/>
    <w:rsid w:val="00370969"/>
    <w:rsid w:val="003C061B"/>
    <w:rsid w:val="003D6E5E"/>
    <w:rsid w:val="004127FC"/>
    <w:rsid w:val="004630E9"/>
    <w:rsid w:val="004740B6"/>
    <w:rsid w:val="004B738F"/>
    <w:rsid w:val="004D56A7"/>
    <w:rsid w:val="00516969"/>
    <w:rsid w:val="00525EFD"/>
    <w:rsid w:val="005301B1"/>
    <w:rsid w:val="005D0535"/>
    <w:rsid w:val="006130E1"/>
    <w:rsid w:val="00613CF3"/>
    <w:rsid w:val="00640A63"/>
    <w:rsid w:val="00695302"/>
    <w:rsid w:val="006A7E66"/>
    <w:rsid w:val="006B3A90"/>
    <w:rsid w:val="006C67F5"/>
    <w:rsid w:val="006D1905"/>
    <w:rsid w:val="007839D1"/>
    <w:rsid w:val="007A0138"/>
    <w:rsid w:val="00816A3F"/>
    <w:rsid w:val="00897F82"/>
    <w:rsid w:val="008B29BC"/>
    <w:rsid w:val="008B4647"/>
    <w:rsid w:val="00902ED6"/>
    <w:rsid w:val="009078B6"/>
    <w:rsid w:val="00984805"/>
    <w:rsid w:val="009D650E"/>
    <w:rsid w:val="009D6A31"/>
    <w:rsid w:val="00A00443"/>
    <w:rsid w:val="00A2435B"/>
    <w:rsid w:val="00A663AE"/>
    <w:rsid w:val="00AA515B"/>
    <w:rsid w:val="00AE6A50"/>
    <w:rsid w:val="00AF4B01"/>
    <w:rsid w:val="00B1070D"/>
    <w:rsid w:val="00B10AAC"/>
    <w:rsid w:val="00B11826"/>
    <w:rsid w:val="00B15DE5"/>
    <w:rsid w:val="00B25369"/>
    <w:rsid w:val="00B442C2"/>
    <w:rsid w:val="00B44AA2"/>
    <w:rsid w:val="00B922C6"/>
    <w:rsid w:val="00BC3AD3"/>
    <w:rsid w:val="00BD2676"/>
    <w:rsid w:val="00BE67C9"/>
    <w:rsid w:val="00C17F28"/>
    <w:rsid w:val="00C27C69"/>
    <w:rsid w:val="00C32A62"/>
    <w:rsid w:val="00C53B62"/>
    <w:rsid w:val="00C57D9D"/>
    <w:rsid w:val="00C91F88"/>
    <w:rsid w:val="00CA76B4"/>
    <w:rsid w:val="00CC441E"/>
    <w:rsid w:val="00CE5390"/>
    <w:rsid w:val="00D05E9A"/>
    <w:rsid w:val="00D35F74"/>
    <w:rsid w:val="00D46E0B"/>
    <w:rsid w:val="00E67A55"/>
    <w:rsid w:val="00E848BE"/>
    <w:rsid w:val="00EB1F02"/>
    <w:rsid w:val="00EB7AB3"/>
    <w:rsid w:val="00EF46A6"/>
    <w:rsid w:val="00F1056F"/>
    <w:rsid w:val="00F2539C"/>
    <w:rsid w:val="00F47BE8"/>
    <w:rsid w:val="00F6137A"/>
    <w:rsid w:val="00F867F3"/>
    <w:rsid w:val="00FA789E"/>
    <w:rsid w:val="00FE2FA4"/>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444A"/>
  <w15:docId w15:val="{E256D295-D170-430E-AC54-791C3B4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spacing w:before="197"/>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6BE"/>
    <w:rPr>
      <w:color w:val="0000FF" w:themeColor="hyperlink"/>
      <w:u w:val="single"/>
    </w:rPr>
  </w:style>
  <w:style w:type="character" w:customStyle="1" w:styleId="ListParagraphChar">
    <w:name w:val="List Paragraph Char"/>
    <w:link w:val="ListParagraph"/>
    <w:uiPriority w:val="34"/>
    <w:locked/>
    <w:rsid w:val="00A2435B"/>
    <w:rPr>
      <w:rFonts w:ascii="Times New Roman" w:eastAsia="Times New Roman" w:hAnsi="Times New Roman" w:cs="Times New Roman"/>
      <w:lang w:val="sq-AL"/>
    </w:rPr>
  </w:style>
  <w:style w:type="paragraph" w:styleId="Title">
    <w:name w:val="Title"/>
    <w:basedOn w:val="Normal"/>
    <w:link w:val="TitleChar"/>
    <w:uiPriority w:val="99"/>
    <w:qFormat/>
    <w:rsid w:val="004D56A7"/>
    <w:pPr>
      <w:widowControl/>
      <w:autoSpaceDE/>
      <w:autoSpaceDN/>
      <w:jc w:val="center"/>
    </w:pPr>
    <w:rPr>
      <w:rFonts w:eastAsia="MS Mincho"/>
      <w:b/>
      <w:bCs/>
      <w:sz w:val="24"/>
      <w:szCs w:val="24"/>
      <w:lang w:val="en-US"/>
    </w:rPr>
  </w:style>
  <w:style w:type="character" w:customStyle="1" w:styleId="TitleChar">
    <w:name w:val="Title Char"/>
    <w:basedOn w:val="DefaultParagraphFont"/>
    <w:link w:val="Title"/>
    <w:uiPriority w:val="99"/>
    <w:rsid w:val="004D56A7"/>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EB7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B3"/>
    <w:rPr>
      <w:rFonts w:ascii="Segoe UI" w:eastAsia="Times New Roman" w:hAnsi="Segoe UI" w:cs="Segoe UI"/>
      <w:sz w:val="18"/>
      <w:szCs w:val="18"/>
      <w:lang w:val="sq-AL"/>
    </w:rPr>
  </w:style>
  <w:style w:type="paragraph" w:styleId="NoSpacing">
    <w:name w:val="No Spacing"/>
    <w:link w:val="NoSpacingChar"/>
    <w:qFormat/>
    <w:rsid w:val="00525EFD"/>
    <w:pPr>
      <w:widowControl/>
      <w:autoSpaceDE/>
      <w:autoSpaceDN/>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525E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1430">
      <w:bodyDiv w:val="1"/>
      <w:marLeft w:val="0"/>
      <w:marRight w:val="0"/>
      <w:marTop w:val="0"/>
      <w:marBottom w:val="0"/>
      <w:divBdr>
        <w:top w:val="none" w:sz="0" w:space="0" w:color="auto"/>
        <w:left w:val="none" w:sz="0" w:space="0" w:color="auto"/>
        <w:bottom w:val="none" w:sz="0" w:space="0" w:color="auto"/>
        <w:right w:val="none" w:sz="0" w:space="0" w:color="auto"/>
      </w:divBdr>
    </w:div>
    <w:div w:id="392241256">
      <w:bodyDiv w:val="1"/>
      <w:marLeft w:val="0"/>
      <w:marRight w:val="0"/>
      <w:marTop w:val="0"/>
      <w:marBottom w:val="0"/>
      <w:divBdr>
        <w:top w:val="none" w:sz="0" w:space="0" w:color="auto"/>
        <w:left w:val="none" w:sz="0" w:space="0" w:color="auto"/>
        <w:bottom w:val="none" w:sz="0" w:space="0" w:color="auto"/>
        <w:right w:val="none" w:sz="0" w:space="0" w:color="auto"/>
      </w:divBdr>
    </w:div>
    <w:div w:id="526261867">
      <w:bodyDiv w:val="1"/>
      <w:marLeft w:val="0"/>
      <w:marRight w:val="0"/>
      <w:marTop w:val="0"/>
      <w:marBottom w:val="0"/>
      <w:divBdr>
        <w:top w:val="none" w:sz="0" w:space="0" w:color="auto"/>
        <w:left w:val="none" w:sz="0" w:space="0" w:color="auto"/>
        <w:bottom w:val="none" w:sz="0" w:space="0" w:color="auto"/>
        <w:right w:val="none" w:sz="0" w:space="0" w:color="auto"/>
      </w:divBdr>
    </w:div>
    <w:div w:id="878931774">
      <w:bodyDiv w:val="1"/>
      <w:marLeft w:val="0"/>
      <w:marRight w:val="0"/>
      <w:marTop w:val="0"/>
      <w:marBottom w:val="0"/>
      <w:divBdr>
        <w:top w:val="none" w:sz="0" w:space="0" w:color="auto"/>
        <w:left w:val="none" w:sz="0" w:space="0" w:color="auto"/>
        <w:bottom w:val="none" w:sz="0" w:space="0" w:color="auto"/>
        <w:right w:val="none" w:sz="0" w:space="0" w:color="auto"/>
      </w:divBdr>
    </w:div>
    <w:div w:id="1245653226">
      <w:bodyDiv w:val="1"/>
      <w:marLeft w:val="0"/>
      <w:marRight w:val="0"/>
      <w:marTop w:val="0"/>
      <w:marBottom w:val="0"/>
      <w:divBdr>
        <w:top w:val="none" w:sz="0" w:space="0" w:color="auto"/>
        <w:left w:val="none" w:sz="0" w:space="0" w:color="auto"/>
        <w:bottom w:val="none" w:sz="0" w:space="0" w:color="auto"/>
        <w:right w:val="none" w:sz="0" w:space="0" w:color="auto"/>
      </w:divBdr>
    </w:div>
    <w:div w:id="1657999101">
      <w:bodyDiv w:val="1"/>
      <w:marLeft w:val="0"/>
      <w:marRight w:val="0"/>
      <w:marTop w:val="0"/>
      <w:marBottom w:val="0"/>
      <w:divBdr>
        <w:top w:val="none" w:sz="0" w:space="0" w:color="auto"/>
        <w:left w:val="none" w:sz="0" w:space="0" w:color="auto"/>
        <w:bottom w:val="none" w:sz="0" w:space="0" w:color="auto"/>
        <w:right w:val="none" w:sz="0" w:space="0" w:color="auto"/>
      </w:divBdr>
    </w:div>
    <w:div w:id="1927301234">
      <w:bodyDiv w:val="1"/>
      <w:marLeft w:val="0"/>
      <w:marRight w:val="0"/>
      <w:marTop w:val="0"/>
      <w:marBottom w:val="0"/>
      <w:divBdr>
        <w:top w:val="none" w:sz="0" w:space="0" w:color="auto"/>
        <w:left w:val="none" w:sz="0" w:space="0" w:color="auto"/>
        <w:bottom w:val="none" w:sz="0" w:space="0" w:color="auto"/>
        <w:right w:val="none" w:sz="0" w:space="0" w:color="auto"/>
      </w:divBdr>
    </w:div>
    <w:div w:id="20862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met.njerezore@npbanesore.com" TargetMode="External"/><Relationship Id="rId3" Type="http://schemas.openxmlformats.org/officeDocument/2006/relationships/styles" Target="styles.xml"/><Relationship Id="rId7" Type="http://schemas.openxmlformats.org/officeDocument/2006/relationships/hyperlink" Target="http://www.npbanes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3992-6D3D-4A89-82EA-A7B31EA7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Elhame Bytyqi</dc:creator>
  <cp:lastModifiedBy>Arbnesha</cp:lastModifiedBy>
  <cp:revision>23</cp:revision>
  <cp:lastPrinted>2021-05-19T13:36:00Z</cp:lastPrinted>
  <dcterms:created xsi:type="dcterms:W3CDTF">2021-06-11T13:57:00Z</dcterms:created>
  <dcterms:modified xsi:type="dcterms:W3CDTF">2021-11-02T12:40:00Z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PDFium</vt:lpwstr>
  </property>
  <property fmtid="{D5CDD505-2E9C-101B-9397-08002B2CF9AE}" pid="4" name="LastSaved">
    <vt:filetime>2020-10-16T00:00:00Z</vt:filetime>
  </property>
</Properties>
</file>