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8A" w:rsidRPr="00E61F45" w:rsidRDefault="00415E59" w:rsidP="005633C6">
      <w:pPr>
        <w:pStyle w:val="BodyText"/>
        <w:spacing w:line="360" w:lineRule="auto"/>
        <w:ind w:left="850" w:firstLine="0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9444" cy="1288473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ogo me adres te re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128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54" w:rsidRPr="00E61F45" w:rsidRDefault="00F32DAD" w:rsidP="005633C6">
      <w:pPr>
        <w:pStyle w:val="BodyText"/>
        <w:spacing w:before="63" w:line="360" w:lineRule="auto"/>
        <w:ind w:left="2933" w:right="294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Ndër</w:t>
      </w:r>
      <w:r w:rsidR="008956C1" w:rsidRPr="00E61F45">
        <w:rPr>
          <w:rFonts w:ascii="Times New Roman" w:hAnsi="Times New Roman" w:cs="Times New Roman"/>
          <w:sz w:val="24"/>
          <w:szCs w:val="24"/>
        </w:rPr>
        <w:t>marrja Publike Banesore shpall</w:t>
      </w:r>
      <w:r w:rsidRPr="00E61F45">
        <w:rPr>
          <w:rFonts w:ascii="Times New Roman" w:hAnsi="Times New Roman" w:cs="Times New Roman"/>
          <w:sz w:val="24"/>
          <w:szCs w:val="24"/>
        </w:rPr>
        <w:t xml:space="preserve"> këtë:</w:t>
      </w:r>
    </w:p>
    <w:p w:rsidR="00DB67D9" w:rsidRPr="00E61F45" w:rsidRDefault="00DB67D9" w:rsidP="00895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6C1" w:rsidRPr="00E61F45" w:rsidRDefault="008956C1" w:rsidP="008956C1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61F45">
        <w:rPr>
          <w:rFonts w:ascii="Times New Roman" w:hAnsi="Times New Roman" w:cs="Times New Roman"/>
          <w:b/>
          <w:i/>
          <w:sz w:val="24"/>
          <w:szCs w:val="24"/>
        </w:rPr>
        <w:t>K O N K U R S</w:t>
      </w:r>
    </w:p>
    <w:p w:rsidR="008956C1" w:rsidRPr="00E61F45" w:rsidRDefault="008956C1" w:rsidP="00895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>KONTRATË PËR KONSULENCË LIGJORE DHE</w:t>
      </w:r>
    </w:p>
    <w:p w:rsidR="008956C1" w:rsidRPr="00E61F45" w:rsidRDefault="008956C1" w:rsidP="00895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>PËRFAQËSIM GJYQËSOR</w:t>
      </w:r>
    </w:p>
    <w:p w:rsidR="00903F95" w:rsidRPr="00E61F45" w:rsidRDefault="00903F95" w:rsidP="005633C6">
      <w:pPr>
        <w:spacing w:line="360" w:lineRule="auto"/>
        <w:ind w:left="2933" w:right="29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54" w:rsidRPr="00E61F45" w:rsidRDefault="005262F3" w:rsidP="005262F3">
      <w:pPr>
        <w:tabs>
          <w:tab w:val="left" w:pos="245"/>
        </w:tabs>
        <w:spacing w:before="131" w:line="360" w:lineRule="auto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6C1" w:rsidRPr="00E61F45">
        <w:rPr>
          <w:rFonts w:ascii="Times New Roman" w:hAnsi="Times New Roman" w:cs="Times New Roman"/>
          <w:b/>
          <w:sz w:val="24"/>
          <w:szCs w:val="24"/>
        </w:rPr>
        <w:t>Titulli</w:t>
      </w:r>
      <w:r w:rsidR="00F32DAD" w:rsidRPr="00E61F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3B54" w:rsidRPr="00E61F45">
        <w:rPr>
          <w:rFonts w:ascii="Times New Roman" w:hAnsi="Times New Roman" w:cs="Times New Roman"/>
          <w:sz w:val="24"/>
          <w:szCs w:val="24"/>
        </w:rPr>
        <w:t>(</w:t>
      </w:r>
      <w:r w:rsidR="00B50CBE" w:rsidRPr="00E61F45">
        <w:rPr>
          <w:rFonts w:ascii="Times New Roman" w:hAnsi="Times New Roman" w:cs="Times New Roman"/>
          <w:sz w:val="24"/>
          <w:szCs w:val="24"/>
        </w:rPr>
        <w:t>1</w:t>
      </w:r>
      <w:r w:rsidR="002F3B54" w:rsidRPr="00E61F45">
        <w:rPr>
          <w:rFonts w:ascii="Times New Roman" w:hAnsi="Times New Roman" w:cs="Times New Roman"/>
          <w:sz w:val="24"/>
          <w:szCs w:val="24"/>
        </w:rPr>
        <w:t xml:space="preserve">) </w:t>
      </w:r>
      <w:r w:rsidRPr="00E61F45">
        <w:rPr>
          <w:rFonts w:ascii="Times New Roman" w:hAnsi="Times New Roman" w:cs="Times New Roman"/>
          <w:sz w:val="24"/>
          <w:szCs w:val="24"/>
        </w:rPr>
        <w:t>Avokat për konsulencë ligjore dhe përfaqësim gjyqësor</w:t>
      </w:r>
    </w:p>
    <w:p w:rsidR="00A14654" w:rsidRPr="00E61F45" w:rsidRDefault="00F32DAD" w:rsidP="005633C6">
      <w:pPr>
        <w:spacing w:before="129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>Periudha</w:t>
      </w:r>
      <w:r w:rsidRPr="00E61F45">
        <w:rPr>
          <w:rFonts w:ascii="Times New Roman" w:hAnsi="Times New Roman" w:cs="Times New Roman"/>
          <w:sz w:val="24"/>
          <w:szCs w:val="24"/>
        </w:rPr>
        <w:t xml:space="preserve">: </w:t>
      </w:r>
      <w:r w:rsidR="00415E59" w:rsidRPr="00E61F45">
        <w:rPr>
          <w:rFonts w:ascii="Times New Roman" w:hAnsi="Times New Roman" w:cs="Times New Roman"/>
          <w:sz w:val="24"/>
          <w:szCs w:val="24"/>
        </w:rPr>
        <w:t>4</w:t>
      </w:r>
      <w:r w:rsidR="005262F3" w:rsidRPr="00E61F45">
        <w:rPr>
          <w:rFonts w:ascii="Times New Roman" w:hAnsi="Times New Roman" w:cs="Times New Roman"/>
          <w:sz w:val="24"/>
          <w:szCs w:val="24"/>
        </w:rPr>
        <w:t xml:space="preserve"> muaj</w:t>
      </w:r>
      <w:r w:rsidR="004A62E8">
        <w:rPr>
          <w:rFonts w:ascii="Times New Roman" w:hAnsi="Times New Roman" w:cs="Times New Roman"/>
          <w:sz w:val="24"/>
          <w:szCs w:val="24"/>
        </w:rPr>
        <w:t>, me mundësi vazhdimi</w:t>
      </w:r>
      <w:r w:rsidRPr="00E61F45">
        <w:rPr>
          <w:rFonts w:ascii="Times New Roman" w:hAnsi="Times New Roman" w:cs="Times New Roman"/>
          <w:sz w:val="24"/>
          <w:szCs w:val="24"/>
        </w:rPr>
        <w:t>;</w:t>
      </w:r>
    </w:p>
    <w:p w:rsidR="00DB67D9" w:rsidRPr="00E61F45" w:rsidRDefault="00DB67D9" w:rsidP="00DB67D9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  </w:t>
      </w:r>
      <w:r w:rsidRPr="00E61F45">
        <w:rPr>
          <w:rFonts w:ascii="Times New Roman" w:hAnsi="Times New Roman" w:cs="Times New Roman"/>
          <w:b/>
          <w:sz w:val="24"/>
          <w:szCs w:val="24"/>
        </w:rPr>
        <w:t>Kompensimi</w:t>
      </w:r>
      <w:r w:rsidRPr="00E61F45">
        <w:rPr>
          <w:rFonts w:ascii="Times New Roman" w:hAnsi="Times New Roman" w:cs="Times New Roman"/>
          <w:sz w:val="24"/>
          <w:szCs w:val="24"/>
        </w:rPr>
        <w:t xml:space="preserve">: </w:t>
      </w:r>
      <w:r w:rsidR="00415E59" w:rsidRPr="00E61F45">
        <w:rPr>
          <w:rFonts w:ascii="Times New Roman" w:hAnsi="Times New Roman" w:cs="Times New Roman"/>
          <w:sz w:val="24"/>
          <w:szCs w:val="24"/>
          <w:lang w:val="af-ZA"/>
        </w:rPr>
        <w:t>700 EUR  (</w:t>
      </w:r>
      <w:r w:rsidR="00415E59" w:rsidRPr="00E61F45">
        <w:rPr>
          <w:rFonts w:ascii="Times New Roman" w:hAnsi="Times New Roman" w:cs="Times New Roman"/>
          <w:b/>
          <w:sz w:val="24"/>
          <w:szCs w:val="24"/>
          <w:lang w:val="af-ZA"/>
        </w:rPr>
        <w:t>shtatë qind euro</w:t>
      </w:r>
      <w:r w:rsidR="00415E59" w:rsidRPr="00E61F45">
        <w:rPr>
          <w:rFonts w:ascii="Times New Roman" w:hAnsi="Times New Roman" w:cs="Times New Roman"/>
          <w:sz w:val="24"/>
          <w:szCs w:val="24"/>
          <w:lang w:val="af-ZA"/>
        </w:rPr>
        <w:t xml:space="preserve">) </w:t>
      </w:r>
      <w:r w:rsidRPr="00E61F45">
        <w:rPr>
          <w:rFonts w:ascii="Times New Roman" w:hAnsi="Times New Roman" w:cs="Times New Roman"/>
          <w:sz w:val="24"/>
          <w:szCs w:val="24"/>
          <w:lang w:val="af-ZA"/>
        </w:rPr>
        <w:t>në muaj</w:t>
      </w:r>
    </w:p>
    <w:p w:rsidR="00DB67D9" w:rsidRPr="00E61F45" w:rsidRDefault="00DB67D9" w:rsidP="00DB67D9">
      <w:pPr>
        <w:rPr>
          <w:rFonts w:ascii="Times New Roman" w:hAnsi="Times New Roman" w:cs="Times New Roman"/>
          <w:sz w:val="24"/>
          <w:szCs w:val="24"/>
        </w:rPr>
      </w:pPr>
    </w:p>
    <w:p w:rsidR="00415E59" w:rsidRPr="00E61F45" w:rsidRDefault="00F8244F" w:rsidP="00415E59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  Raporton: </w:t>
      </w:r>
      <w:r w:rsidR="00415E59" w:rsidRPr="00E61F45">
        <w:rPr>
          <w:rFonts w:ascii="Times New Roman" w:hAnsi="Times New Roman" w:cs="Times New Roman"/>
          <w:sz w:val="24"/>
          <w:szCs w:val="24"/>
        </w:rPr>
        <w:t>Kryeshefit Ekz</w:t>
      </w:r>
      <w:r w:rsidR="0025508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415E59" w:rsidRPr="00E61F45">
        <w:rPr>
          <w:rFonts w:ascii="Times New Roman" w:hAnsi="Times New Roman" w:cs="Times New Roman"/>
          <w:sz w:val="24"/>
          <w:szCs w:val="24"/>
        </w:rPr>
        <w:t>kutiv dhe Menaxherit të Departamentit për Mbështetje të Brendshme</w:t>
      </w:r>
    </w:p>
    <w:p w:rsidR="00CE6B04" w:rsidRPr="00E61F45" w:rsidRDefault="00CE6B04" w:rsidP="00563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54" w:rsidRPr="00E61F45" w:rsidRDefault="00F32DAD" w:rsidP="005633C6">
      <w:pPr>
        <w:pStyle w:val="Heading1"/>
        <w:spacing w:before="130" w:line="360" w:lineRule="auto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Detyrat dhe përgjegjësitë:</w:t>
      </w:r>
    </w:p>
    <w:p w:rsidR="00415E59" w:rsidRPr="00E61F45" w:rsidRDefault="00415E59" w:rsidP="00415E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  <w:lang w:val="af-ZA"/>
        </w:rPr>
        <w:t>Përfaqësimi dhe mbrojtja e institucionit para të gjitha organeve shtetërore në Kosovë si organet publike, policia, prokuroria, gjykatat civile, administrative dhe penale;</w:t>
      </w:r>
    </w:p>
    <w:p w:rsidR="00415E59" w:rsidRPr="00E61F45" w:rsidRDefault="00415E59" w:rsidP="00415E5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  <w:lang w:val="af-ZA"/>
        </w:rPr>
        <w:t>Dhënia e këshillave juridike lidhur me kornizën ligjore të Kosovës, sipas nevojës, duke përfshirë, ndër të tjera, çështjet juridike lidhur me kornizën ligjore të Republikës së Kosovës;</w:t>
      </w:r>
    </w:p>
    <w:p w:rsidR="00415E59" w:rsidRPr="00E61F45" w:rsidRDefault="00415E59" w:rsidP="00415E59">
      <w:pPr>
        <w:rPr>
          <w:rFonts w:ascii="Times New Roman" w:hAnsi="Times New Roman" w:cs="Times New Roman"/>
          <w:sz w:val="24"/>
          <w:szCs w:val="24"/>
          <w:lang w:val="af-ZA"/>
        </w:rPr>
      </w:pPr>
    </w:p>
    <w:p w:rsidR="00415E59" w:rsidRPr="00E61F45" w:rsidRDefault="00415E59" w:rsidP="00415E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  <w:lang w:val="af-ZA"/>
        </w:rPr>
        <w:t>Përgatitja dhe dorëzimi i parashtresave të nevojshme, ndër të tjera, padi, përgjigje në padi, ankesa, kërkesa dhe kundërshtime;</w:t>
      </w:r>
    </w:p>
    <w:p w:rsidR="00415E59" w:rsidRPr="00E61F45" w:rsidRDefault="00415E59" w:rsidP="00415E59">
      <w:pPr>
        <w:rPr>
          <w:rFonts w:ascii="Times New Roman" w:hAnsi="Times New Roman" w:cs="Times New Roman"/>
          <w:sz w:val="24"/>
          <w:szCs w:val="24"/>
          <w:lang w:val="af-ZA"/>
        </w:rPr>
      </w:pPr>
    </w:p>
    <w:p w:rsidR="00415E59" w:rsidRPr="00E61F45" w:rsidRDefault="00415E59" w:rsidP="00415E5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  <w:lang w:val="af-ZA"/>
        </w:rPr>
        <w:t>Marrja e të gjitha veprimeve të nevojshme civile dhe penale për kompenzimin e dëmit eventual;</w:t>
      </w:r>
    </w:p>
    <w:p w:rsidR="00415E59" w:rsidRPr="00E61F45" w:rsidRDefault="00415E59" w:rsidP="00415E59">
      <w:pPr>
        <w:rPr>
          <w:rFonts w:ascii="Times New Roman" w:hAnsi="Times New Roman" w:cs="Times New Roman"/>
          <w:sz w:val="24"/>
          <w:szCs w:val="24"/>
          <w:lang w:val="af-ZA"/>
        </w:rPr>
      </w:pPr>
    </w:p>
    <w:p w:rsidR="00415E59" w:rsidRPr="00E61F45" w:rsidRDefault="00415E59" w:rsidP="00415E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  <w:lang w:val="af-ZA"/>
        </w:rPr>
        <w:t>Negocimi dhe përpilimi i kontratave në emër të Ndërmarrjes;</w:t>
      </w:r>
    </w:p>
    <w:p w:rsidR="00415E59" w:rsidRPr="00E61F45" w:rsidRDefault="00415E59" w:rsidP="00415E59">
      <w:pPr>
        <w:rPr>
          <w:rFonts w:ascii="Times New Roman" w:hAnsi="Times New Roman" w:cs="Times New Roman"/>
          <w:sz w:val="24"/>
          <w:szCs w:val="24"/>
          <w:lang w:val="af-ZA"/>
        </w:rPr>
      </w:pPr>
    </w:p>
    <w:p w:rsidR="00415E59" w:rsidRPr="00E61F45" w:rsidRDefault="00415E59" w:rsidP="00415E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  <w:lang w:val="af-ZA"/>
        </w:rPr>
        <w:t xml:space="preserve">Si dhe çështje të natyrës së njejtë sipas kërkesës së Ndërmarrjes; </w:t>
      </w:r>
    </w:p>
    <w:p w:rsidR="005633C6" w:rsidRPr="00E61F45" w:rsidRDefault="005633C6" w:rsidP="005633C6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44F" w:rsidRPr="00E61F45" w:rsidRDefault="00086574" w:rsidP="005633C6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4F" w:rsidRPr="00E61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2DAD" w:rsidRPr="00E61F45">
        <w:rPr>
          <w:rFonts w:ascii="Times New Roman" w:hAnsi="Times New Roman" w:cs="Times New Roman"/>
          <w:b/>
          <w:sz w:val="24"/>
          <w:szCs w:val="24"/>
        </w:rPr>
        <w:t>Kushtet themelore</w:t>
      </w:r>
      <w:r w:rsidR="003854DD" w:rsidRPr="00E61F4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03F95" w:rsidRPr="00E61F45">
        <w:rPr>
          <w:rFonts w:ascii="Times New Roman" w:hAnsi="Times New Roman" w:cs="Times New Roman"/>
          <w:b/>
          <w:sz w:val="24"/>
          <w:szCs w:val="24"/>
        </w:rPr>
        <w:t>ë</w:t>
      </w:r>
      <w:r w:rsidR="003854DD" w:rsidRPr="00E61F45">
        <w:rPr>
          <w:rFonts w:ascii="Times New Roman" w:hAnsi="Times New Roman" w:cs="Times New Roman"/>
          <w:b/>
          <w:sz w:val="24"/>
          <w:szCs w:val="24"/>
        </w:rPr>
        <w:t xml:space="preserve"> nevojshme</w:t>
      </w:r>
      <w:r w:rsidR="00F32DAD" w:rsidRPr="00E61F45">
        <w:rPr>
          <w:rFonts w:ascii="Times New Roman" w:hAnsi="Times New Roman" w:cs="Times New Roman"/>
          <w:b/>
          <w:sz w:val="24"/>
          <w:szCs w:val="24"/>
        </w:rPr>
        <w:t xml:space="preserve"> për angazhimin në punë dhe detyra specifike: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Të jetë i/e licencuar si Avokat/e nga oda Avokatëve të Kosovës;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Së paku 4 vite përvojë profesionale si avokat;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Të ketë përvojë të përfaqësimit pranë të gjitha instancave gjyqësore në Republikën e Kosovës. 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Shkathtësi te shkëlqyeshme ndërpersonale dhe të komunikimit, si dhe aftësi ne zgjidhjen e konfliktit;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Saktësi, vëmendje në detaje dhe ndjeshmëri ndaj prioriteteve;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Të ketë aftësi për te punuar ne mënyrë efektive nen presion te kohë;</w:t>
      </w:r>
    </w:p>
    <w:p w:rsidR="00415E59" w:rsidRPr="00E61F45" w:rsidRDefault="00415E59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Të ketë aftësi në hartim të Rregulloreve apo akteve të brendshme që ndërlidhen me fushëveprimtarinë e Ndërmarrjes.</w:t>
      </w:r>
    </w:p>
    <w:p w:rsidR="005633C6" w:rsidRPr="00E61F45" w:rsidRDefault="005633C6" w:rsidP="005633C6">
      <w:pPr>
        <w:widowControl/>
        <w:overflowPunct w:val="0"/>
        <w:spacing w:line="36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1F45" w:rsidRDefault="00E61F45" w:rsidP="005633C6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4F" w:rsidRPr="00E61F45" w:rsidRDefault="00F8244F" w:rsidP="005633C6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lastRenderedPageBreak/>
        <w:t>Mënyra e konkurimit:</w:t>
      </w:r>
    </w:p>
    <w:p w:rsidR="00F55B45" w:rsidRPr="00E61F45" w:rsidRDefault="00F8244F" w:rsidP="00D8093B">
      <w:pPr>
        <w:pStyle w:val="BodyText"/>
        <w:spacing w:before="156" w:line="360" w:lineRule="auto"/>
        <w:ind w:left="100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Kandidatët e interesuar, formularin zyrtar mund ta marrin në zyret e Burimeve Njerëzore të Ndërmarrjes Publike Banesore apo ta shkarkojnë nga </w:t>
      </w:r>
      <w:r w:rsidR="007B6BA6" w:rsidRPr="00E61F45">
        <w:rPr>
          <w:rFonts w:ascii="Times New Roman" w:hAnsi="Times New Roman" w:cs="Times New Roman"/>
          <w:sz w:val="24"/>
          <w:szCs w:val="24"/>
        </w:rPr>
        <w:t>w</w:t>
      </w:r>
      <w:r w:rsidRPr="00E61F45">
        <w:rPr>
          <w:rFonts w:ascii="Times New Roman" w:hAnsi="Times New Roman" w:cs="Times New Roman"/>
          <w:sz w:val="24"/>
          <w:szCs w:val="24"/>
        </w:rPr>
        <w:t xml:space="preserve">eb faqja e internetit në adresën: </w:t>
      </w:r>
      <w:hyperlink r:id="rId6" w:history="1">
        <w:r w:rsidR="007B6BA6" w:rsidRPr="00E61F45">
          <w:rPr>
            <w:rStyle w:val="Hyperlink"/>
            <w:rFonts w:ascii="Times New Roman" w:hAnsi="Times New Roman" w:cs="Times New Roman"/>
            <w:sz w:val="24"/>
            <w:szCs w:val="24"/>
            <w:u w:color="0462C1"/>
          </w:rPr>
          <w:t>www.npbanesore.com</w:t>
        </w:r>
      </w:hyperlink>
      <w:r w:rsidRPr="00E61F45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/shpalljet/mundesi-punesimi/</w:t>
      </w:r>
      <w:r w:rsidRPr="00E61F45">
        <w:rPr>
          <w:rFonts w:ascii="Times New Roman" w:hAnsi="Times New Roman" w:cs="Times New Roman"/>
          <w:color w:val="0462C1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.</w:t>
      </w:r>
      <w:r w:rsidRPr="00E61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Dokumentacionin</w:t>
      </w:r>
      <w:r w:rsidRPr="00E61F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mund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ta</w:t>
      </w:r>
      <w:r w:rsidRPr="00E61F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paraqesin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në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kopje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fizike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 xml:space="preserve">në Divizionin e Burimeve Njerëzore në adresën: rr. </w:t>
      </w:r>
      <w:r w:rsidR="00415E59" w:rsidRPr="00E61F45">
        <w:rPr>
          <w:rFonts w:ascii="Times New Roman" w:hAnsi="Times New Roman" w:cs="Times New Roman"/>
          <w:sz w:val="24"/>
          <w:szCs w:val="24"/>
        </w:rPr>
        <w:t>“Zija Shemsiu”</w:t>
      </w:r>
      <w:r w:rsidR="00E61F45" w:rsidRPr="00E61F45">
        <w:rPr>
          <w:rFonts w:ascii="Times New Roman" w:hAnsi="Times New Roman" w:cs="Times New Roman"/>
          <w:sz w:val="24"/>
          <w:szCs w:val="24"/>
        </w:rPr>
        <w:t>, nr. 2</w:t>
      </w:r>
      <w:r w:rsidRPr="00E61F45">
        <w:rPr>
          <w:rFonts w:ascii="Times New Roman" w:hAnsi="Times New Roman" w:cs="Times New Roman"/>
          <w:sz w:val="24"/>
          <w:szCs w:val="24"/>
        </w:rPr>
        <w:t>2, Prishtinë, të aplikojnë përmes emailit zyrtar:</w:t>
      </w:r>
      <w:r w:rsidRPr="00E61F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7">
        <w:r w:rsidRPr="00E61F4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burimet.njerezore@npbanesore.com</w:t>
        </w:r>
        <w:r w:rsidRPr="00E61F45">
          <w:rPr>
            <w:rFonts w:ascii="Times New Roman" w:hAnsi="Times New Roman" w:cs="Times New Roman"/>
            <w:color w:val="0462C1"/>
            <w:spacing w:val="-8"/>
            <w:sz w:val="24"/>
            <w:szCs w:val="24"/>
          </w:rPr>
          <w:t xml:space="preserve"> </w:t>
        </w:r>
      </w:hyperlink>
      <w:r w:rsidRPr="00E61F45">
        <w:rPr>
          <w:rFonts w:ascii="Times New Roman" w:hAnsi="Times New Roman" w:cs="Times New Roman"/>
          <w:sz w:val="24"/>
          <w:szCs w:val="24"/>
        </w:rPr>
        <w:t>apo</w:t>
      </w:r>
      <w:r w:rsidRPr="00E61F4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përmes</w:t>
      </w:r>
      <w:r w:rsidRPr="00E61F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postës.</w:t>
      </w:r>
      <w:r w:rsidRPr="00E61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Kandidatët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cilët</w:t>
      </w:r>
      <w:r w:rsidRPr="00E61F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konkurojnë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duhet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E61F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shënojnë saktë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adresën,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numrin</w:t>
      </w:r>
      <w:r w:rsidRPr="00E61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e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telefonit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kontaktues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si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dhe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email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adresën.</w:t>
      </w:r>
      <w:r w:rsidRPr="00E61F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Vetëm</w:t>
      </w:r>
      <w:r w:rsidRPr="00E61F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kandidatët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e</w:t>
      </w:r>
      <w:r w:rsidRPr="00E61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përzgjedhur</w:t>
      </w:r>
      <w:r w:rsidRPr="00E61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do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të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ftohen për intervistë.</w:t>
      </w:r>
    </w:p>
    <w:p w:rsidR="00F8244F" w:rsidRPr="00E61F45" w:rsidRDefault="00F8244F" w:rsidP="005633C6">
      <w:pPr>
        <w:pStyle w:val="BodyText"/>
        <w:spacing w:before="136" w:line="360" w:lineRule="auto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Aplikacionit i duhet bashkangjitur:</w:t>
      </w:r>
    </w:p>
    <w:p w:rsidR="00E61F45" w:rsidRPr="00E61F45" w:rsidRDefault="00E61F45" w:rsidP="00E61F45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Letrën përcjellëse/ motivuese;</w:t>
      </w:r>
    </w:p>
    <w:p w:rsidR="00E61F45" w:rsidRPr="00E61F45" w:rsidRDefault="00E61F45" w:rsidP="00E61F45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Dëshmi mbi përgatitjen profesionale;</w:t>
      </w:r>
    </w:p>
    <w:p w:rsidR="00E61F45" w:rsidRPr="00E61F45" w:rsidRDefault="00E61F45" w:rsidP="00E61F45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Dëshmi mbi përvojën e punës;</w:t>
      </w:r>
    </w:p>
    <w:p w:rsidR="00E61F45" w:rsidRPr="00E61F45" w:rsidRDefault="00E61F45" w:rsidP="00E61F45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Licencën nga Oda Avokatëve;</w:t>
      </w:r>
    </w:p>
    <w:p w:rsidR="00E61F45" w:rsidRPr="00E61F45" w:rsidRDefault="00E61F45" w:rsidP="00E61F45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Dokumentin e identifikimit.</w:t>
      </w:r>
    </w:p>
    <w:p w:rsidR="005F174E" w:rsidRPr="00E61F45" w:rsidRDefault="005F174E" w:rsidP="00E61F45">
      <w:pPr>
        <w:tabs>
          <w:tab w:val="left" w:pos="820"/>
          <w:tab w:val="left" w:pos="8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Kriteret e përzgjedhje: </w:t>
      </w: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- Përparsi kanë avokatët të cilët trajtojnë çështje nga e drejta komerciale, pronësore-juridiko-civile. </w:t>
      </w: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Mënyra e përzgjedhjes: </w:t>
      </w: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- Përzgjedheja e avokatit do të bëhet në bazë të dokumentacionit të ofruar nga kandidatët që përputhet me kërkesat e konkursit.</w:t>
      </w:r>
    </w:p>
    <w:p w:rsidR="005633C6" w:rsidRPr="00E61F45" w:rsidRDefault="005633C6" w:rsidP="005F174E">
      <w:pPr>
        <w:spacing w:before="139" w:line="360" w:lineRule="auto"/>
        <w:ind w:right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574" w:rsidRPr="00E61F45" w:rsidRDefault="00086574" w:rsidP="005633C6">
      <w:pPr>
        <w:spacing w:before="139" w:line="360" w:lineRule="auto"/>
        <w:ind w:left="100" w:right="1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F45">
        <w:rPr>
          <w:rFonts w:ascii="Times New Roman" w:hAnsi="Times New Roman" w:cs="Times New Roman"/>
          <w:b/>
          <w:i/>
          <w:sz w:val="24"/>
          <w:szCs w:val="24"/>
        </w:rPr>
        <w:t xml:space="preserve">Shënim: </w:t>
      </w:r>
      <w:r w:rsidRPr="00E61F45">
        <w:rPr>
          <w:rFonts w:ascii="Times New Roman" w:hAnsi="Times New Roman" w:cs="Times New Roman"/>
          <w:i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</w:t>
      </w:r>
      <w:r w:rsidR="00E55BCB" w:rsidRPr="00E61F45">
        <w:rPr>
          <w:rFonts w:ascii="Times New Roman" w:hAnsi="Times New Roman" w:cs="Times New Roman"/>
          <w:i/>
          <w:sz w:val="24"/>
          <w:szCs w:val="24"/>
        </w:rPr>
        <w:t>yrtim nëse arrijnë brenda tri (2</w:t>
      </w:r>
      <w:r w:rsidRPr="00E61F45">
        <w:rPr>
          <w:rFonts w:ascii="Times New Roman" w:hAnsi="Times New Roman" w:cs="Times New Roman"/>
          <w:i/>
          <w:sz w:val="24"/>
          <w:szCs w:val="24"/>
        </w:rPr>
        <w:t>) ditësh. Aplikacionet që arrijnë pas këtij afati dhe ato të pakompletuara me dokumentacionin përkatës nuk do të shqyrtohen.</w:t>
      </w:r>
    </w:p>
    <w:p w:rsidR="00086574" w:rsidRPr="00E61F45" w:rsidRDefault="00086574" w:rsidP="005633C6">
      <w:pPr>
        <w:pStyle w:val="Heading1"/>
        <w:spacing w:before="152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  <w:u w:val="single"/>
        </w:rPr>
        <w:t>APLIKACIONET DHE DOKUMENTACIONI I PAKOMPLETUAR SIPAS KËRKESAVE TË</w:t>
      </w:r>
      <w:r w:rsidRPr="00E61F45">
        <w:rPr>
          <w:rFonts w:ascii="Times New Roman" w:hAnsi="Times New Roman" w:cs="Times New Roman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  <w:u w:val="single"/>
        </w:rPr>
        <w:t>PËRCAKTUARA NË KËTË SHPALLJE SI DHE ATO QË ARRIJNË PAS SKADIMIT TË AFATIT TË</w:t>
      </w:r>
      <w:r w:rsidRPr="00E61F45">
        <w:rPr>
          <w:rFonts w:ascii="Times New Roman" w:hAnsi="Times New Roman" w:cs="Times New Roman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  <w:u w:val="single"/>
        </w:rPr>
        <w:t>KONKURSIT, NUK DO TË SHQYRTOHEN.</w:t>
      </w:r>
    </w:p>
    <w:p w:rsidR="00086574" w:rsidRPr="00E61F45" w:rsidRDefault="00086574" w:rsidP="005633C6">
      <w:pPr>
        <w:spacing w:before="131" w:line="36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Shpallja është e hapur që nga data </w:t>
      </w:r>
      <w:r w:rsidR="00E61F45" w:rsidRPr="00E61F45">
        <w:rPr>
          <w:rFonts w:ascii="Times New Roman" w:hAnsi="Times New Roman" w:cs="Times New Roman"/>
          <w:b/>
          <w:sz w:val="24"/>
          <w:szCs w:val="24"/>
        </w:rPr>
        <w:t>19.11.2021-23.11.2021</w:t>
      </w:r>
    </w:p>
    <w:p w:rsidR="00086574" w:rsidRPr="00E61F45" w:rsidRDefault="00086574" w:rsidP="005633C6">
      <w:pPr>
        <w:spacing w:before="142" w:line="360" w:lineRule="auto"/>
        <w:ind w:left="100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>Për informata më të hollësishme mund të kontaktoni në Divizionin e Burimeve Njerëzore të Ndërmarrjes Publike Banesore në nr. tel. : 038 606 672.</w:t>
      </w:r>
    </w:p>
    <w:sectPr w:rsidR="00086574" w:rsidRPr="00E61F45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746"/>
    <w:multiLevelType w:val="hybridMultilevel"/>
    <w:tmpl w:val="FDF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7E2"/>
    <w:multiLevelType w:val="hybridMultilevel"/>
    <w:tmpl w:val="ABD46B5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03032"/>
    <w:multiLevelType w:val="hybridMultilevel"/>
    <w:tmpl w:val="02BE7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571"/>
    <w:multiLevelType w:val="hybridMultilevel"/>
    <w:tmpl w:val="6FA0A948"/>
    <w:lvl w:ilvl="0" w:tplc="3F68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1174"/>
    <w:multiLevelType w:val="hybridMultilevel"/>
    <w:tmpl w:val="7978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7" w15:restartNumberingAfterBreak="0">
    <w:nsid w:val="1DEC23FF"/>
    <w:multiLevelType w:val="hybridMultilevel"/>
    <w:tmpl w:val="E3E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631E"/>
    <w:multiLevelType w:val="hybridMultilevel"/>
    <w:tmpl w:val="68C8271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67B3"/>
    <w:multiLevelType w:val="hybridMultilevel"/>
    <w:tmpl w:val="FD7E88D6"/>
    <w:lvl w:ilvl="0" w:tplc="E2346676">
      <w:start w:val="1"/>
      <w:numFmt w:val="upperRoman"/>
      <w:lvlText w:val="%1."/>
      <w:lvlJc w:val="left"/>
      <w:pPr>
        <w:ind w:left="244" w:hanging="144"/>
      </w:pPr>
      <w:rPr>
        <w:rFonts w:ascii="TeXGyrePagella" w:eastAsia="TeXGyrePagella" w:hAnsi="TeXGyrePagella" w:cs="TeXGyrePagella" w:hint="default"/>
        <w:b/>
        <w:bCs/>
        <w:spacing w:val="-1"/>
        <w:w w:val="100"/>
        <w:sz w:val="20"/>
        <w:szCs w:val="20"/>
        <w:lang w:val="sq-AL" w:eastAsia="en-US" w:bidi="ar-SA"/>
      </w:rPr>
    </w:lvl>
    <w:lvl w:ilvl="1" w:tplc="24C8695A">
      <w:numFmt w:val="bullet"/>
      <w:lvlText w:val="•"/>
      <w:lvlJc w:val="left"/>
      <w:pPr>
        <w:ind w:left="1318" w:hanging="144"/>
      </w:pPr>
      <w:rPr>
        <w:rFonts w:hint="default"/>
        <w:lang w:val="sq-AL" w:eastAsia="en-US" w:bidi="ar-SA"/>
      </w:rPr>
    </w:lvl>
    <w:lvl w:ilvl="2" w:tplc="150E122A">
      <w:numFmt w:val="bullet"/>
      <w:lvlText w:val="•"/>
      <w:lvlJc w:val="left"/>
      <w:pPr>
        <w:ind w:left="2396" w:hanging="144"/>
      </w:pPr>
      <w:rPr>
        <w:rFonts w:hint="default"/>
        <w:lang w:val="sq-AL" w:eastAsia="en-US" w:bidi="ar-SA"/>
      </w:rPr>
    </w:lvl>
    <w:lvl w:ilvl="3" w:tplc="5D62EB3A">
      <w:numFmt w:val="bullet"/>
      <w:lvlText w:val="•"/>
      <w:lvlJc w:val="left"/>
      <w:pPr>
        <w:ind w:left="3474" w:hanging="144"/>
      </w:pPr>
      <w:rPr>
        <w:rFonts w:hint="default"/>
        <w:lang w:val="sq-AL" w:eastAsia="en-US" w:bidi="ar-SA"/>
      </w:rPr>
    </w:lvl>
    <w:lvl w:ilvl="4" w:tplc="BB46E144">
      <w:numFmt w:val="bullet"/>
      <w:lvlText w:val="•"/>
      <w:lvlJc w:val="left"/>
      <w:pPr>
        <w:ind w:left="4552" w:hanging="144"/>
      </w:pPr>
      <w:rPr>
        <w:rFonts w:hint="default"/>
        <w:lang w:val="sq-AL" w:eastAsia="en-US" w:bidi="ar-SA"/>
      </w:rPr>
    </w:lvl>
    <w:lvl w:ilvl="5" w:tplc="977E40F8">
      <w:numFmt w:val="bullet"/>
      <w:lvlText w:val="•"/>
      <w:lvlJc w:val="left"/>
      <w:pPr>
        <w:ind w:left="5630" w:hanging="144"/>
      </w:pPr>
      <w:rPr>
        <w:rFonts w:hint="default"/>
        <w:lang w:val="sq-AL" w:eastAsia="en-US" w:bidi="ar-SA"/>
      </w:rPr>
    </w:lvl>
    <w:lvl w:ilvl="6" w:tplc="D550D6CE">
      <w:numFmt w:val="bullet"/>
      <w:lvlText w:val="•"/>
      <w:lvlJc w:val="left"/>
      <w:pPr>
        <w:ind w:left="6708" w:hanging="144"/>
      </w:pPr>
      <w:rPr>
        <w:rFonts w:hint="default"/>
        <w:lang w:val="sq-AL" w:eastAsia="en-US" w:bidi="ar-SA"/>
      </w:rPr>
    </w:lvl>
    <w:lvl w:ilvl="7" w:tplc="2EBA1CD4">
      <w:numFmt w:val="bullet"/>
      <w:lvlText w:val="•"/>
      <w:lvlJc w:val="left"/>
      <w:pPr>
        <w:ind w:left="7786" w:hanging="144"/>
      </w:pPr>
      <w:rPr>
        <w:rFonts w:hint="default"/>
        <w:lang w:val="sq-AL" w:eastAsia="en-US" w:bidi="ar-SA"/>
      </w:rPr>
    </w:lvl>
    <w:lvl w:ilvl="8" w:tplc="6F78EBF0">
      <w:numFmt w:val="bullet"/>
      <w:lvlText w:val="•"/>
      <w:lvlJc w:val="left"/>
      <w:pPr>
        <w:ind w:left="8864" w:hanging="144"/>
      </w:pPr>
      <w:rPr>
        <w:rFonts w:hint="default"/>
        <w:lang w:val="sq-AL" w:eastAsia="en-US" w:bidi="ar-SA"/>
      </w:rPr>
    </w:lvl>
  </w:abstractNum>
  <w:abstractNum w:abstractNumId="10" w15:restartNumberingAfterBreak="0">
    <w:nsid w:val="32E540EC"/>
    <w:multiLevelType w:val="hybridMultilevel"/>
    <w:tmpl w:val="BE2A0716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33D7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245A"/>
    <w:multiLevelType w:val="hybridMultilevel"/>
    <w:tmpl w:val="D1DEC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8B"/>
    <w:multiLevelType w:val="hybridMultilevel"/>
    <w:tmpl w:val="57F26846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A5D23"/>
    <w:multiLevelType w:val="hybridMultilevel"/>
    <w:tmpl w:val="BA26DF74"/>
    <w:lvl w:ilvl="0" w:tplc="FCC4B580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89B8FD9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3D540E5E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AD949A14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8E7A832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36DCEEB0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729892A2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B6C8C8F2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671E8A6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6" w15:restartNumberingAfterBreak="0">
    <w:nsid w:val="3F61358D"/>
    <w:multiLevelType w:val="hybridMultilevel"/>
    <w:tmpl w:val="2F042CF8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A5D3A"/>
    <w:multiLevelType w:val="hybridMultilevel"/>
    <w:tmpl w:val="AD648B3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1889"/>
    <w:multiLevelType w:val="hybridMultilevel"/>
    <w:tmpl w:val="056EBE5E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4F46"/>
    <w:multiLevelType w:val="hybridMultilevel"/>
    <w:tmpl w:val="CCC68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92625"/>
    <w:multiLevelType w:val="hybridMultilevel"/>
    <w:tmpl w:val="087867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D14DC8"/>
    <w:multiLevelType w:val="hybridMultilevel"/>
    <w:tmpl w:val="67F6A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77E83"/>
    <w:multiLevelType w:val="hybridMultilevel"/>
    <w:tmpl w:val="79C2A65A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76B5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E06"/>
    <w:multiLevelType w:val="hybridMultilevel"/>
    <w:tmpl w:val="5ED20B64"/>
    <w:lvl w:ilvl="0" w:tplc="810AC7A8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23829E6C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081EDC96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0AFA6BFC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854E1B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FDB0CC4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BC36EE0A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86DC2A4E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C44BFD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25" w15:restartNumberingAfterBreak="0">
    <w:nsid w:val="7708316D"/>
    <w:multiLevelType w:val="hybridMultilevel"/>
    <w:tmpl w:val="DEAE710E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32D22"/>
    <w:multiLevelType w:val="hybridMultilevel"/>
    <w:tmpl w:val="7052556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055D02"/>
    <w:multiLevelType w:val="hybridMultilevel"/>
    <w:tmpl w:val="D806E2D8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26"/>
  </w:num>
  <w:num w:numId="10">
    <w:abstractNumId w:val="25"/>
  </w:num>
  <w:num w:numId="11">
    <w:abstractNumId w:val="11"/>
  </w:num>
  <w:num w:numId="12">
    <w:abstractNumId w:val="17"/>
  </w:num>
  <w:num w:numId="13">
    <w:abstractNumId w:val="12"/>
  </w:num>
  <w:num w:numId="14">
    <w:abstractNumId w:val="23"/>
  </w:num>
  <w:num w:numId="15">
    <w:abstractNumId w:val="18"/>
  </w:num>
  <w:num w:numId="16">
    <w:abstractNumId w:val="8"/>
  </w:num>
  <w:num w:numId="17">
    <w:abstractNumId w:val="22"/>
  </w:num>
  <w:num w:numId="18">
    <w:abstractNumId w:val="16"/>
  </w:num>
  <w:num w:numId="19">
    <w:abstractNumId w:val="27"/>
  </w:num>
  <w:num w:numId="20">
    <w:abstractNumId w:val="14"/>
  </w:num>
  <w:num w:numId="21">
    <w:abstractNumId w:val="2"/>
  </w:num>
  <w:num w:numId="22">
    <w:abstractNumId w:val="20"/>
  </w:num>
  <w:num w:numId="23">
    <w:abstractNumId w:val="21"/>
  </w:num>
  <w:num w:numId="24">
    <w:abstractNumId w:val="7"/>
  </w:num>
  <w:num w:numId="25">
    <w:abstractNumId w:val="0"/>
  </w:num>
  <w:num w:numId="26">
    <w:abstractNumId w:val="5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4"/>
    <w:rsid w:val="00054E8D"/>
    <w:rsid w:val="00086574"/>
    <w:rsid w:val="00137728"/>
    <w:rsid w:val="001809CB"/>
    <w:rsid w:val="00183C81"/>
    <w:rsid w:val="00255083"/>
    <w:rsid w:val="00284837"/>
    <w:rsid w:val="002F3B54"/>
    <w:rsid w:val="003854DD"/>
    <w:rsid w:val="003F636A"/>
    <w:rsid w:val="00415E59"/>
    <w:rsid w:val="00453234"/>
    <w:rsid w:val="004A62E8"/>
    <w:rsid w:val="005262F3"/>
    <w:rsid w:val="0054208A"/>
    <w:rsid w:val="005633C6"/>
    <w:rsid w:val="005F174E"/>
    <w:rsid w:val="00743D1E"/>
    <w:rsid w:val="00760013"/>
    <w:rsid w:val="00780FFB"/>
    <w:rsid w:val="007B6BA6"/>
    <w:rsid w:val="008956C1"/>
    <w:rsid w:val="008C4166"/>
    <w:rsid w:val="00903F95"/>
    <w:rsid w:val="00995442"/>
    <w:rsid w:val="00A14654"/>
    <w:rsid w:val="00B2500C"/>
    <w:rsid w:val="00B50CBE"/>
    <w:rsid w:val="00CE6B04"/>
    <w:rsid w:val="00D8093B"/>
    <w:rsid w:val="00DB67D9"/>
    <w:rsid w:val="00E05BBE"/>
    <w:rsid w:val="00E15334"/>
    <w:rsid w:val="00E55BCB"/>
    <w:rsid w:val="00E61F45"/>
    <w:rsid w:val="00F32DAD"/>
    <w:rsid w:val="00F55B45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6AD4"/>
  <w15:docId w15:val="{54336152-E36C-4A60-839F-3B99B4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"/>
    <w:qFormat/>
    <w:pPr>
      <w:spacing w:before="103" w:line="395" w:lineRule="exact"/>
      <w:ind w:left="2933" w:right="29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55B45"/>
    <w:rPr>
      <w:rFonts w:ascii="TeXGyrePagella" w:eastAsia="TeXGyrePagella" w:hAnsi="TeXGyrePagella" w:cs="TeXGyrePagell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Hajrizi</dc:creator>
  <cp:lastModifiedBy>NPBUser</cp:lastModifiedBy>
  <cp:revision>5</cp:revision>
  <dcterms:created xsi:type="dcterms:W3CDTF">2021-11-18T14:50:00Z</dcterms:created>
  <dcterms:modified xsi:type="dcterms:W3CDTF">2021-11-19T08:54:00Z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