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F2" w:rsidRPr="00E86E39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 </w:t>
      </w:r>
      <w:r w:rsidR="00685D8D" w:rsidRPr="00E86E39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7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bazë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dispozitave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Nenit 8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Ligjit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Punës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si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dhe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Udhëzimit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Administrativ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Nr.07/2017, Neni 4,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Ndërmarrja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Publike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Banesore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proofErr w:type="gramStart"/>
      <w:r w:rsidRPr="00E86E39">
        <w:rPr>
          <w:rFonts w:ascii="Publica Sans Light" w:hAnsi="Publica Sans Light"/>
          <w:sz w:val="24"/>
          <w:szCs w:val="24"/>
        </w:rPr>
        <w:t>Sh.A</w:t>
      </w:r>
      <w:proofErr w:type="spellEnd"/>
      <w:proofErr w:type="gram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Prishtinë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shpall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: </w:t>
      </w:r>
    </w:p>
    <w:p w:rsidR="00A17DF2" w:rsidRPr="00E86E39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E86E39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Për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plotësimin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vendit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punës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61A19" w:rsidRPr="00E86E39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Titulli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: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Inxhinier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/e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/e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makinerisë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I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raporton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: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Menaxherit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/es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Investimeve</w:t>
      </w:r>
      <w:proofErr w:type="spellEnd"/>
    </w:p>
    <w:p w:rsidR="00CF4D71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Niveli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pagës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 4.1</w:t>
      </w:r>
    </w:p>
    <w:p w:rsidR="00CF4D71" w:rsidRPr="00E86E39" w:rsidRDefault="00CF4D71" w:rsidP="00CF4D7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CF4D71" w:rsidRPr="00E86E39" w:rsidRDefault="00CF4D71" w:rsidP="00CF4D7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03637A" w:rsidRPr="00E86E39" w:rsidRDefault="0003637A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përgjithshme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a)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përgjegjës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realizimin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objektivave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caktuara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Menaxheri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Departamentin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Investimeve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b)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Ndihmon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Menaxherin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bashkë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Mbikëqyrësit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caktimin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objektivave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zhvillimin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planit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përmbushjen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këtyre</w:t>
      </w:r>
      <w:proofErr w:type="spellEnd"/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objektivave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DMI;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c)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Koordinon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DMI-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Divizionet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NPB-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lidhje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kërkesat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kryerjen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aktiviteteve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nevojshme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NPB-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d)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Merr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pjesë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mbledhjet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rregullta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thirrur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DMI-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apo të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NPB-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Specifike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Organizon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koordinon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udhëheq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punën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duke u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koordinuar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njësitë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shërbimet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DMI-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Cakton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planin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dinamik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punëve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kontrollon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dhe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atë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funksion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realizimit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objekteve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caktuara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Menaxheri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Kontrollon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vlerëson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aprovon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mënyrë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profesionale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cilësinë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punimeve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rreth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mirëmbajtjers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ashënsorëve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konform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planit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operacional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DMI-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cili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bazuar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kontratën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lidhur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konsumatorët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dokumentacionit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tekniko-investues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përgjegjës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respektimin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rregullativës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ligjore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standardeve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praktikave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mirëmbajtjen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color w:val="000000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Merr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pjesë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përgatitjen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çmimores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produkteve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apo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shërbimeve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ofruara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DMI-ja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lëminë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ashënsorëve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përgatitjen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specifikave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apo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parashihet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blihen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nxjerrë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paramasat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llogaritë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përcakton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llojet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cilat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duhet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përdoren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lastRenderedPageBreak/>
        <w:t>Shqyrton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kërkesat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ankesat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parashtresat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dokumentet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palëve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përkatëse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kuadër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DMI-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kërkesat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/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ndërlidhen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shërbimin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apo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distrubimin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tyre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tek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grupet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përkatëse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Planifikon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blerjen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konform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objektivave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përcaktuara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DMI;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Përpilon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kërkesat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tenderimin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shpenzues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nevojshme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gramStart"/>
      <w:r w:rsidRPr="00F41D06">
        <w:rPr>
          <w:rFonts w:ascii="Publica Sans Light" w:hAnsi="Publica Sans Light" w:cs="MarkPro"/>
          <w:sz w:val="24"/>
          <w:szCs w:val="24"/>
        </w:rPr>
        <w:t xml:space="preserve">për 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shërbimin</w:t>
      </w:r>
      <w:proofErr w:type="spellEnd"/>
      <w:proofErr w:type="gram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konform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kontrollon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zbatimin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planeve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aktiviteteve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operative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përcaktuara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Menaxheri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përgjegjës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grupit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konform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objektivave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përcaktuara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Mirëmbajtjes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përgjegjës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shpenzimet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mallrave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produketeve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përkatëse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Mban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evidencë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gjitha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cilat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realizohen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procesin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sistemimit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arkivimit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procesimin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sofverik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dokumentacioni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relevant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njësine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apo me DMI-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Përgatit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raportet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baza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javore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mujore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vjetore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përkatëse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përgjegjësitë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burimet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njerëzore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Propozon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tek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Menaxheri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emërimet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pozita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adekuate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masa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disiplinore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punonjësit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njësisë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bazë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performancës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tyre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Është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përgjegjës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performimin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stafit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bën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vlerësimin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secilit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punësuar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në</w:t>
      </w:r>
      <w:proofErr w:type="spellEnd"/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njësinë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Mbikëqyr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baza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mujore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gjashtë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mujore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-Italic"/>
          <w:sz w:val="24"/>
          <w:szCs w:val="24"/>
        </w:rPr>
        <w:t>vjetore</w:t>
      </w:r>
      <w:proofErr w:type="spellEnd"/>
      <w:r w:rsidRPr="00F41D06">
        <w:rPr>
          <w:rFonts w:ascii="Publica Sans Light" w:hAnsi="Publica Sans Light" w:cs="MarkPro-Italic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Siguron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niveli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punonjësëve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pajisjet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sistemet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adekuate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përmbushjen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funksioneve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DMI-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Siguron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stafi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kualifikimin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trajnmet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duhura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mban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pasqyrë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trajnime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propozon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trajnime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nevojshme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obligimet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shtesë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a)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Menaxheri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Departamentit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mund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ta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ngarkojë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sipas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nevojës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se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NPBsë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b)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rast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mungesës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zyrtarëve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urdhër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menaxhmentit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mund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ta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zëvendësojë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kryej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c)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Kryen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edhe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lidhen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përshkrimin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detyrave</w:t>
      </w:r>
      <w:proofErr w:type="spellEnd"/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ngarkuara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menaxhmeti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Kualifikimet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Diplomë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universitare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proofErr w:type="gramStart"/>
      <w:r w:rsidRPr="00F41D06">
        <w:rPr>
          <w:rFonts w:ascii="Publica Sans Light" w:hAnsi="Publica Sans Light" w:cs="MarkPro"/>
          <w:sz w:val="24"/>
          <w:szCs w:val="24"/>
        </w:rPr>
        <w:t>fushat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teknike</w:t>
      </w:r>
      <w:proofErr w:type="spellEnd"/>
      <w:proofErr w:type="gram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ekuivalente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Dëshmi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përvojë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paku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3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vite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Dëshmi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përvojë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profesionale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paku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2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vite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 xml:space="preserve">Patent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shofer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kategoria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-B;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PublicaSans-Light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Aftësitë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Njohuritë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qasjeve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moderne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planifikim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kontrollë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Shkathtësi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shkëlqyera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komunikative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organizative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analitike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Etikë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integritet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lartë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Shkathtësi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punuar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grup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presion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dëshmoj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fleksibilitet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gatshem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natën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fundjavave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Duhet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jëtë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gjendje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lexoj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kuptoj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manualet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makinat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procesin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ndërtimit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lastRenderedPageBreak/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Njohje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shkëlqyer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makineri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/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elektrikë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ka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; 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kujdes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shtuar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respektoj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normat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sigurinë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jëtë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gatshëm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objekte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lartësi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madhe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gjendje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bëj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paramasat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parallogaritë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materialet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gatshëm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gjitha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kushtet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atmosferike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jetë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gatshëm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qëndrojë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këmbë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periudha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gjata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kohore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Aftësi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kompjuterike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gjithë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aplikacionet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MC Office;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Aftësi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zgjidhjen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problemeve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lidhur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me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çështjet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teknike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procedurale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dalin</w:t>
      </w:r>
      <w:proofErr w:type="spellEnd"/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nga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procesi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Aftësi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ekip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ketë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vetëiniciativë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qasje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konstruktive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Shkathtësi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administrative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njohuri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adekuate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zyre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duke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përfshirë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njohurinë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përpilimin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shkresave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adekuate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profesionale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Shkathtësi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shkëlqyera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komunikative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organizative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analitike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Etikë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integritet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lartë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Shkathtësi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punuar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grup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,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presion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dëshmojë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fleksibilitet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Kualifikimet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-Bold"/>
          <w:b/>
          <w:bCs/>
          <w:sz w:val="24"/>
          <w:szCs w:val="24"/>
        </w:rPr>
        <w:t>preferueshme</w:t>
      </w:r>
      <w:proofErr w:type="spellEnd"/>
      <w:r w:rsidRPr="00F41D06">
        <w:rPr>
          <w:rFonts w:ascii="Publica Sans Light" w:hAnsi="Publica Sans Light" w:cs="MarkPro-Bold"/>
          <w:b/>
          <w:bCs/>
          <w:sz w:val="24"/>
          <w:szCs w:val="24"/>
        </w:rPr>
        <w:t>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sz w:val="24"/>
          <w:szCs w:val="24"/>
        </w:rPr>
      </w:pPr>
      <w:r w:rsidRPr="00F41D06">
        <w:rPr>
          <w:rFonts w:ascii="Publica Sans Light" w:hAnsi="Publica Sans Light" w:cs="MarkPro-Bold"/>
          <w:sz w:val="24"/>
          <w:szCs w:val="24"/>
        </w:rPr>
        <w:t xml:space="preserve">Master </w:t>
      </w:r>
      <w:proofErr w:type="spellStart"/>
      <w:r w:rsidRPr="00F41D06">
        <w:rPr>
          <w:rFonts w:ascii="Publica Sans Light" w:hAnsi="Publica Sans Light" w:cs="MarkPro-Bold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-Bold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sz w:val="24"/>
          <w:szCs w:val="24"/>
        </w:rPr>
        <w:t>fushën</w:t>
      </w:r>
      <w:proofErr w:type="spellEnd"/>
      <w:r w:rsidRPr="00F41D06">
        <w:rPr>
          <w:rFonts w:ascii="Publica Sans Light" w:hAnsi="Publica Sans Light" w:cs="MarkPro-Bold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sz w:val="24"/>
          <w:szCs w:val="24"/>
        </w:rPr>
        <w:t>Inxhinierisë</w:t>
      </w:r>
      <w:proofErr w:type="spellEnd"/>
      <w:r w:rsidRPr="00F41D06">
        <w:rPr>
          <w:rFonts w:ascii="Publica Sans Light" w:hAnsi="Publica Sans Light" w:cs="MarkPro-Bold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-Bold"/>
          <w:sz w:val="24"/>
          <w:szCs w:val="24"/>
        </w:rPr>
        <w:t>mekanike</w:t>
      </w:r>
      <w:proofErr w:type="spellEnd"/>
      <w:r w:rsidRPr="00F41D06">
        <w:rPr>
          <w:rFonts w:ascii="Publica Sans Light" w:hAnsi="Publica Sans Light" w:cs="MarkPro-Bold"/>
          <w:sz w:val="24"/>
          <w:szCs w:val="24"/>
        </w:rPr>
        <w:t xml:space="preserve">; 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Çertifikatë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mbi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njohuritë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avancuara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lëminë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ashensorëve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.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Kurset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trajnimet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tjetra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karrierës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profesionale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Kurset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trajnimet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tjetra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gjate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karrierës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profesionale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 xml:space="preserve">Patent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shofer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kategoritë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tjera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relevante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për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transportuese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dhe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mjete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</w:t>
      </w:r>
    </w:p>
    <w:p w:rsidR="00CF4D71" w:rsidRPr="00F41D06" w:rsidRDefault="00CF4D71" w:rsidP="00CF4D71">
      <w:pPr>
        <w:rPr>
          <w:rFonts w:ascii="Publica Sans Light" w:hAnsi="Publica Sans Light"/>
          <w:sz w:val="24"/>
          <w:szCs w:val="24"/>
        </w:rPr>
      </w:pPr>
      <w:proofErr w:type="spellStart"/>
      <w:r w:rsidRPr="00F41D06">
        <w:rPr>
          <w:rFonts w:ascii="Publica Sans Light" w:hAnsi="Publica Sans Light" w:cs="MarkPro"/>
          <w:sz w:val="24"/>
          <w:szCs w:val="24"/>
        </w:rPr>
        <w:t>rënda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 xml:space="preserve"> të </w:t>
      </w:r>
      <w:proofErr w:type="spellStart"/>
      <w:r w:rsidRPr="00F41D06">
        <w:rPr>
          <w:rFonts w:ascii="Publica Sans Light" w:hAnsi="Publica Sans Light" w:cs="MarkPro"/>
          <w:sz w:val="24"/>
          <w:szCs w:val="24"/>
        </w:rPr>
        <w:t>punës</w:t>
      </w:r>
      <w:proofErr w:type="spellEnd"/>
      <w:r w:rsidRPr="00F41D06">
        <w:rPr>
          <w:rFonts w:ascii="Publica Sans Light" w:hAnsi="Publica Sans Light" w:cs="MarkPro"/>
          <w:sz w:val="24"/>
          <w:szCs w:val="24"/>
        </w:rPr>
        <w:t>;</w:t>
      </w:r>
    </w:p>
    <w:p w:rsidR="006911A2" w:rsidRPr="00E86E39" w:rsidRDefault="006911A2" w:rsidP="00066B1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A17DF2" w:rsidRPr="00E86E39" w:rsidRDefault="00900858" w:rsidP="00E86E39">
      <w:pPr>
        <w:spacing w:after="163" w:line="259" w:lineRule="auto"/>
        <w:ind w:left="0" w:right="6608" w:firstLine="0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Procedura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Konkurrimit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17DF2" w:rsidRPr="00E86E39" w:rsidRDefault="00900858" w:rsidP="00A7189C">
      <w:pPr>
        <w:spacing w:after="0" w:line="276" w:lineRule="auto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interesuar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formularin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zyrtar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mund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marrin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zyret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Burimeve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Njerëzore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Ndërmarrjes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7189C" w:rsidRPr="00E86E39" w:rsidRDefault="00695E9D" w:rsidP="00A7189C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Publike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Banesore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apo ta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shkarkojnë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nga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web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faqja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internetit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>:</w:t>
      </w:r>
    </w:p>
    <w:p w:rsidR="00A7189C" w:rsidRPr="00E86E39" w:rsidRDefault="00000000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hyperlink r:id="rId7">
        <w:r w:rsidR="00900858" w:rsidRPr="00E86E39">
          <w:rPr>
            <w:rFonts w:ascii="Publica Sans Light" w:hAnsi="Publica Sans Light"/>
            <w:sz w:val="24"/>
            <w:szCs w:val="24"/>
            <w:u w:val="single" w:color="0462C1"/>
          </w:rPr>
          <w:t>www.npbanesore.com/</w:t>
        </w:r>
      </w:hyperlink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shpalljet/mundesi-punesimi</w:t>
      </w:r>
      <w:proofErr w:type="gramStart"/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/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.</w:t>
      </w:r>
      <w:proofErr w:type="gram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Dokumentacionin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mund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paraqesin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kopje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fizike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Divizionin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Burimeve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Njerëzore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: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rr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Zija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Shemsiu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nr. 22,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Prishtinë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ose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aplikojnë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emailit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zyrtar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: </w:t>
      </w:r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apo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postës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cilët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konkurojnë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duhet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shënojnë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saktë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numrin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telefonit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kontaktues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dhe email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Vetëm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përzgjedhur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do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ftohen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procedura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tjera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rekrutimit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</w:p>
    <w:p w:rsidR="00933D74" w:rsidRPr="00E86E39" w:rsidRDefault="00933D74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</w:p>
    <w:p w:rsidR="00A17DF2" w:rsidRPr="00E86E39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sz w:val="24"/>
          <w:szCs w:val="24"/>
        </w:rPr>
        <w:t>D</w:t>
      </w:r>
      <w:r w:rsidR="00900858" w:rsidRPr="00E86E39">
        <w:rPr>
          <w:rFonts w:ascii="Publica Sans Light" w:hAnsi="Publica Sans Light"/>
          <w:b/>
          <w:sz w:val="24"/>
          <w:szCs w:val="24"/>
        </w:rPr>
        <w:t>okum</w:t>
      </w:r>
      <w:r w:rsidR="00BE6221" w:rsidRPr="00E86E39">
        <w:rPr>
          <w:rFonts w:ascii="Publica Sans Light" w:hAnsi="Publica Sans Light"/>
          <w:b/>
          <w:sz w:val="24"/>
          <w:szCs w:val="24"/>
        </w:rPr>
        <w:t>entet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që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duhet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bashkangjiten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>:</w:t>
      </w:r>
      <w:r w:rsidR="00900858"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18400E" w:rsidP="00CF4D71">
      <w:pPr>
        <w:spacing w:after="0" w:line="240" w:lineRule="auto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Aplikacioni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NPB-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DC129F" w:rsidRPr="00E86E39" w:rsidRDefault="00F138A3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1A0052" w:rsidRPr="00E86E39">
        <w:rPr>
          <w:rFonts w:ascii="Publica Sans Light" w:hAnsi="Publica Sans Light"/>
          <w:sz w:val="24"/>
          <w:szCs w:val="24"/>
        </w:rPr>
        <w:t>Dëshmitë</w:t>
      </w:r>
      <w:proofErr w:type="spellEnd"/>
      <w:r w:rsidR="001A0052" w:rsidRPr="00E86E39">
        <w:rPr>
          <w:rFonts w:ascii="Publica Sans Light" w:hAnsi="Publica Sans Light"/>
          <w:sz w:val="24"/>
          <w:szCs w:val="24"/>
        </w:rPr>
        <w:t xml:space="preserve"> pë</w:t>
      </w:r>
      <w:r w:rsidRPr="00E86E39">
        <w:rPr>
          <w:rFonts w:ascii="Publica Sans Light" w:hAnsi="Publica Sans Light"/>
          <w:sz w:val="24"/>
          <w:szCs w:val="24"/>
        </w:rPr>
        <w:t xml:space="preserve">r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Shkollim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- </w:t>
      </w:r>
      <w:proofErr w:type="gramStart"/>
      <w:r w:rsidRPr="00E86E39">
        <w:rPr>
          <w:rFonts w:ascii="Publica Sans Light" w:hAnsi="Publica Sans Light" w:cs="Times New Roman"/>
          <w:sz w:val="24"/>
          <w:szCs w:val="24"/>
          <w:lang w:val="sq-AL"/>
        </w:rPr>
        <w:t>Diplomë  universitare</w:t>
      </w:r>
      <w:proofErr w:type="gramEnd"/>
      <w:r w:rsidRPr="00E86E39">
        <w:rPr>
          <w:rFonts w:ascii="Publica Sans Light" w:hAnsi="Publica Sans Light" w:cs="Times New Roman"/>
          <w:sz w:val="24"/>
          <w:szCs w:val="24"/>
          <w:lang w:val="sq-AL"/>
        </w:rPr>
        <w:t xml:space="preserve"> në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fushat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teknike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ose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ekuivalente</w:t>
      </w:r>
      <w:proofErr w:type="spellEnd"/>
      <w:r w:rsidR="00454A63" w:rsidRPr="00E86E39">
        <w:rPr>
          <w:rFonts w:ascii="Publica Sans Light" w:hAnsi="Publica Sans Light" w:cs="Times New Roman"/>
          <w:sz w:val="24"/>
          <w:szCs w:val="24"/>
          <w:lang w:val="sq-AL"/>
        </w:rPr>
        <w:t>,</w:t>
      </w:r>
    </w:p>
    <w:p w:rsidR="00A17DF2" w:rsidRPr="00E86E39" w:rsidRDefault="00DC129F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Dëshmitë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për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përvojën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proofErr w:type="gramStart"/>
      <w:r w:rsidR="00900858" w:rsidRPr="00E86E39">
        <w:rPr>
          <w:rFonts w:ascii="Publica Sans Light" w:hAnsi="Publica Sans Light"/>
          <w:sz w:val="24"/>
          <w:szCs w:val="24"/>
        </w:rPr>
        <w:t>punës</w:t>
      </w:r>
      <w:proofErr w:type="spellEnd"/>
      <w:r w:rsidR="00701F24" w:rsidRPr="00E86E39">
        <w:rPr>
          <w:rFonts w:ascii="Publica Sans Light" w:hAnsi="Publica Sans Light"/>
          <w:sz w:val="24"/>
          <w:szCs w:val="24"/>
        </w:rPr>
        <w:t xml:space="preserve"> 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86E39">
        <w:rPr>
          <w:rFonts w:ascii="Publica Sans Light" w:hAnsi="Publica Sans Light"/>
          <w:sz w:val="24"/>
          <w:szCs w:val="24"/>
        </w:rPr>
        <w:t>së</w:t>
      </w:r>
      <w:proofErr w:type="spellEnd"/>
      <w:proofErr w:type="gramEnd"/>
      <w:r w:rsidR="001B5497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86E39">
        <w:rPr>
          <w:rFonts w:ascii="Publica Sans Light" w:hAnsi="Publica Sans Light"/>
          <w:sz w:val="24"/>
          <w:szCs w:val="24"/>
        </w:rPr>
        <w:t>paku</w:t>
      </w:r>
      <w:proofErr w:type="spellEnd"/>
      <w:r w:rsidR="0086056B" w:rsidRPr="00E86E39">
        <w:rPr>
          <w:rFonts w:ascii="Publica Sans Light" w:hAnsi="Publica Sans Light"/>
          <w:sz w:val="24"/>
          <w:szCs w:val="24"/>
        </w:rPr>
        <w:t xml:space="preserve"> 4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C5DD4" w:rsidRPr="00E86E39">
        <w:rPr>
          <w:rFonts w:ascii="Publica Sans Light" w:hAnsi="Publica Sans Light"/>
          <w:sz w:val="24"/>
          <w:szCs w:val="24"/>
        </w:rPr>
        <w:t>vite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CF4D71" w:rsidRDefault="0086056B" w:rsidP="00CF4D71">
      <w:pPr>
        <w:overflowPunct w:val="0"/>
        <w:autoSpaceDE w:val="0"/>
        <w:autoSpaceDN w:val="0"/>
        <w:spacing w:after="0" w:line="240" w:lineRule="auto"/>
        <w:ind w:left="101" w:firstLine="0"/>
        <w:contextualSpacing/>
        <w:jc w:val="left"/>
        <w:textAlignment w:val="baseline"/>
        <w:rPr>
          <w:rFonts w:ascii="Publica Sans Light" w:hAnsi="Publica Sans Light" w:cs="MarkPro"/>
          <w:sz w:val="24"/>
          <w:szCs w:val="24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-Dëshmi për përvojë pune </w:t>
      </w:r>
      <w:r w:rsidR="00CF4D71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profesionale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së paku 2 vite në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në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fushat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teknike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ose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 xml:space="preserve"> </w:t>
      </w:r>
      <w:proofErr w:type="spellStart"/>
      <w:r w:rsidR="00CF4D71" w:rsidRPr="00F41D06">
        <w:rPr>
          <w:rFonts w:ascii="Publica Sans Light" w:hAnsi="Publica Sans Light" w:cs="MarkPro"/>
          <w:sz w:val="24"/>
          <w:szCs w:val="24"/>
        </w:rPr>
        <w:t>ekuivalente</w:t>
      </w:r>
      <w:proofErr w:type="spellEnd"/>
      <w:r w:rsidR="00CF4D71" w:rsidRPr="00F41D06">
        <w:rPr>
          <w:rFonts w:ascii="Publica Sans Light" w:hAnsi="Publica Sans Light" w:cs="MarkPro"/>
          <w:sz w:val="24"/>
          <w:szCs w:val="24"/>
        </w:rPr>
        <w:t>;</w:t>
      </w:r>
    </w:p>
    <w:p w:rsidR="001B5497" w:rsidRPr="00E86E39" w:rsidRDefault="0018400E" w:rsidP="00CF4D71">
      <w:pPr>
        <w:overflowPunct w:val="0"/>
        <w:autoSpaceDE w:val="0"/>
        <w:autoSpaceDN w:val="0"/>
        <w:spacing w:after="0" w:line="240" w:lineRule="auto"/>
        <w:ind w:left="0" w:firstLine="0"/>
        <w:contextualSpacing/>
        <w:jc w:val="left"/>
        <w:textAlignment w:val="baseline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-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Certifikatën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që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nuk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jeni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hetime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nga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Gjykata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(jo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vjetër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se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gjashtë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muaj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>);</w:t>
      </w:r>
    </w:p>
    <w:p w:rsidR="00A17DF2" w:rsidRPr="00E86E39" w:rsidRDefault="0018400E" w:rsidP="00CF4D71">
      <w:pPr>
        <w:spacing w:line="240" w:lineRule="auto"/>
        <w:ind w:left="0" w:firstLine="0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Arial" w:hAnsi="Publica Sans Light" w:cs="Arial"/>
          <w:sz w:val="24"/>
          <w:szCs w:val="24"/>
        </w:rPr>
        <w:t>-</w:t>
      </w:r>
      <w:r w:rsidR="00900858" w:rsidRPr="00E86E39">
        <w:rPr>
          <w:rFonts w:ascii="Publica Sans Light" w:eastAsia="Arial" w:hAnsi="Publica Sans Light" w:cs="Arial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Kopjen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letërnjoftimit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E86E39" w:rsidRDefault="00E86E39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</w:p>
    <w:p w:rsidR="00A17DF2" w:rsidRPr="00E86E39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Shënim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: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dërguara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postë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,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cilat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mbajnë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vulën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postare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mbi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dërgesën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bërë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ditën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fundit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afatit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për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aplikim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,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konsiderohen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vlefshme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dhe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merren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shqyrt</w:t>
      </w:r>
      <w:r w:rsidR="008E6EA0" w:rsidRPr="00E86E39">
        <w:rPr>
          <w:rFonts w:ascii="Publica Sans Light" w:hAnsi="Publica Sans Light"/>
          <w:i/>
          <w:sz w:val="24"/>
          <w:szCs w:val="24"/>
        </w:rPr>
        <w:t>im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nëse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brenda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proofErr w:type="gramStart"/>
      <w:r w:rsidR="008E6EA0" w:rsidRPr="00E86E39">
        <w:rPr>
          <w:rFonts w:ascii="Publica Sans Light" w:hAnsi="Publica Sans Light"/>
          <w:i/>
          <w:sz w:val="24"/>
          <w:szCs w:val="24"/>
        </w:rPr>
        <w:t>dy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 (</w:t>
      </w:r>
      <w:proofErr w:type="gramEnd"/>
      <w:r w:rsidR="008E6EA0" w:rsidRPr="00E86E39">
        <w:rPr>
          <w:rFonts w:ascii="Publica Sans Light" w:hAnsi="Publica Sans Light"/>
          <w:i/>
          <w:sz w:val="24"/>
          <w:szCs w:val="24"/>
        </w:rPr>
        <w:t>2</w:t>
      </w:r>
      <w:r w:rsidRPr="00E86E39">
        <w:rPr>
          <w:rFonts w:ascii="Publica Sans Light" w:hAnsi="Publica Sans Light"/>
          <w:i/>
          <w:sz w:val="24"/>
          <w:szCs w:val="24"/>
        </w:rPr>
        <w:t xml:space="preserve">)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ditësh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.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që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pas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këtij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afati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dhe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ato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pakompletuara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lastRenderedPageBreak/>
        <w:t>dokumentacionin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përkatës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nuk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shqyrtohen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>.</w:t>
      </w:r>
      <w:r w:rsidRPr="00E86E39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Kandidati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/ja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i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/e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</w:t>
      </w:r>
      <w:r w:rsidR="00A342DF" w:rsidRPr="00E86E39">
        <w:rPr>
          <w:rFonts w:ascii="Publica Sans Light" w:hAnsi="Publica Sans Light"/>
          <w:b/>
          <w:i/>
          <w:sz w:val="24"/>
          <w:szCs w:val="24"/>
        </w:rPr>
        <w:t>ërzgjedhur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86E39">
        <w:rPr>
          <w:rFonts w:ascii="Publica Sans Light" w:hAnsi="Publica Sans Light"/>
          <w:b/>
          <w:i/>
          <w:sz w:val="24"/>
          <w:szCs w:val="24"/>
        </w:rPr>
        <w:t>obligohet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="00A342DF" w:rsidRPr="00E86E39">
        <w:rPr>
          <w:rFonts w:ascii="Publica Sans Light" w:hAnsi="Publica Sans Light"/>
          <w:b/>
          <w:i/>
          <w:sz w:val="24"/>
          <w:szCs w:val="24"/>
        </w:rPr>
        <w:t>sjellë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86E39">
        <w:rPr>
          <w:rFonts w:ascii="Calibri" w:hAnsi="Calibri" w:cs="Calibri"/>
          <w:b/>
          <w:i/>
          <w:sz w:val="24"/>
          <w:szCs w:val="24"/>
        </w:rPr>
        <w:t>ҫ</w:t>
      </w:r>
      <w:r w:rsidRPr="00E86E39">
        <w:rPr>
          <w:rFonts w:ascii="Publica Sans Light" w:hAnsi="Publica Sans Light"/>
          <w:b/>
          <w:i/>
          <w:sz w:val="24"/>
          <w:szCs w:val="24"/>
        </w:rPr>
        <w:t>ertifikatën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mjekësore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para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nënshkrimit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kontratës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. </w:t>
      </w:r>
    </w:p>
    <w:p w:rsidR="00A17DF2" w:rsidRPr="00E86E39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sz w:val="24"/>
          <w:szCs w:val="24"/>
        </w:rPr>
        <w:t>Shpal</w:t>
      </w:r>
      <w:r w:rsidR="00CE3C51" w:rsidRPr="00E86E39">
        <w:rPr>
          <w:rFonts w:ascii="Publica Sans Light" w:hAnsi="Publica Sans Light"/>
          <w:b/>
          <w:sz w:val="24"/>
          <w:szCs w:val="24"/>
        </w:rPr>
        <w:t>lja</w:t>
      </w:r>
      <w:proofErr w:type="spellEnd"/>
      <w:r w:rsidR="00CE3C5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CE3C51" w:rsidRPr="00E86E39">
        <w:rPr>
          <w:rFonts w:ascii="Publica Sans Light" w:hAnsi="Publica Sans Light"/>
          <w:b/>
          <w:sz w:val="24"/>
          <w:szCs w:val="24"/>
        </w:rPr>
        <w:t>është</w:t>
      </w:r>
      <w:proofErr w:type="spellEnd"/>
      <w:r w:rsidR="007114A5" w:rsidRPr="00E86E39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="007114A5" w:rsidRPr="00E86E39">
        <w:rPr>
          <w:rFonts w:ascii="Publica Sans Light" w:hAnsi="Publica Sans Light"/>
          <w:b/>
          <w:sz w:val="24"/>
          <w:szCs w:val="24"/>
        </w:rPr>
        <w:t>hapur</w:t>
      </w:r>
      <w:proofErr w:type="spellEnd"/>
      <w:r w:rsidR="007114A5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7114A5" w:rsidRPr="00E86E39">
        <w:rPr>
          <w:rFonts w:ascii="Publica Sans Light" w:hAnsi="Publica Sans Light"/>
          <w:b/>
          <w:sz w:val="24"/>
          <w:szCs w:val="24"/>
        </w:rPr>
        <w:t>q</w:t>
      </w:r>
      <w:r w:rsidR="00D94DE9" w:rsidRPr="00E86E39">
        <w:rPr>
          <w:rFonts w:ascii="Publica Sans Light" w:hAnsi="Publica Sans Light"/>
          <w:b/>
          <w:sz w:val="24"/>
          <w:szCs w:val="24"/>
        </w:rPr>
        <w:t>ë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D94DE9" w:rsidRPr="00E86E39">
        <w:rPr>
          <w:rFonts w:ascii="Publica Sans Light" w:hAnsi="Publica Sans Light"/>
          <w:b/>
          <w:sz w:val="24"/>
          <w:szCs w:val="24"/>
        </w:rPr>
        <w:t>nga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data 1</w:t>
      </w:r>
      <w:r w:rsidR="00E86E39" w:rsidRPr="00E86E39">
        <w:rPr>
          <w:rFonts w:ascii="Publica Sans Light" w:hAnsi="Publica Sans Light"/>
          <w:b/>
          <w:sz w:val="24"/>
          <w:szCs w:val="24"/>
        </w:rPr>
        <w:t>7</w:t>
      </w:r>
      <w:r w:rsidR="00D94DE9" w:rsidRPr="00E86E39">
        <w:rPr>
          <w:rFonts w:ascii="Publica Sans Light" w:hAnsi="Publica Sans Light"/>
          <w:b/>
          <w:sz w:val="24"/>
          <w:szCs w:val="24"/>
        </w:rPr>
        <w:t xml:space="preserve">.01.2023 </w:t>
      </w:r>
      <w:proofErr w:type="spellStart"/>
      <w:r w:rsidR="00D94DE9" w:rsidRPr="00E86E39">
        <w:rPr>
          <w:rFonts w:ascii="Publica Sans Light" w:hAnsi="Publica Sans Light"/>
          <w:b/>
          <w:sz w:val="24"/>
          <w:szCs w:val="24"/>
        </w:rPr>
        <w:t>deri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proofErr w:type="gramStart"/>
      <w:r w:rsidR="00D94DE9" w:rsidRPr="00E86E39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 </w:t>
      </w:r>
      <w:r w:rsidR="004E1E9D" w:rsidRPr="00E86E39">
        <w:rPr>
          <w:rFonts w:ascii="Publica Sans Light" w:hAnsi="Publica Sans Light"/>
          <w:b/>
          <w:sz w:val="24"/>
          <w:szCs w:val="24"/>
        </w:rPr>
        <w:t>3</w:t>
      </w:r>
      <w:r w:rsidR="00E86E39" w:rsidRPr="00E86E39">
        <w:rPr>
          <w:rFonts w:ascii="Publica Sans Light" w:hAnsi="Publica Sans Light"/>
          <w:b/>
          <w:sz w:val="24"/>
          <w:szCs w:val="24"/>
        </w:rPr>
        <w:t>1</w:t>
      </w:r>
      <w:r w:rsidR="007114A5" w:rsidRPr="00E86E39">
        <w:rPr>
          <w:rFonts w:ascii="Publica Sans Light" w:hAnsi="Publica Sans Light"/>
          <w:b/>
          <w:sz w:val="24"/>
          <w:szCs w:val="24"/>
        </w:rPr>
        <w:t>.01.2023.</w:t>
      </w:r>
      <w:proofErr w:type="gramEnd"/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Për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informata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hollësishme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mund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kontaktoni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Divizionin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Burimeve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Njerëzore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Ndërmarrjes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Publike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Banesore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nr. </w:t>
      </w:r>
      <w:proofErr w:type="gramStart"/>
      <w:r w:rsidRPr="00E86E39">
        <w:rPr>
          <w:rFonts w:ascii="Publica Sans Light" w:hAnsi="Publica Sans Light"/>
          <w:b/>
          <w:sz w:val="24"/>
          <w:szCs w:val="24"/>
        </w:rPr>
        <w:t>tel. :</w:t>
      </w:r>
      <w:proofErr w:type="gramEnd"/>
      <w:r w:rsidRPr="00E86E39">
        <w:rPr>
          <w:rFonts w:ascii="Publica Sans Light" w:hAnsi="Publica Sans Light"/>
          <w:b/>
          <w:sz w:val="24"/>
          <w:szCs w:val="24"/>
        </w:rPr>
        <w:t xml:space="preserve"> 038 553 311. </w:t>
      </w: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2867D1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                               </w:t>
      </w:r>
    </w:p>
    <w:sectPr w:rsidR="0032524E" w:rsidRPr="00E86E39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default"/>
  </w:font>
  <w:font w:name="MarkPr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aSans-Light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561A"/>
    <w:multiLevelType w:val="hybridMultilevel"/>
    <w:tmpl w:val="72A23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5018A3"/>
    <w:multiLevelType w:val="hybridMultilevel"/>
    <w:tmpl w:val="CF8A7B9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0202"/>
    <w:multiLevelType w:val="hybridMultilevel"/>
    <w:tmpl w:val="4D869902"/>
    <w:lvl w:ilvl="0" w:tplc="9A0423A8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B1A9E"/>
    <w:multiLevelType w:val="hybridMultilevel"/>
    <w:tmpl w:val="3B3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777276">
    <w:abstractNumId w:val="19"/>
  </w:num>
  <w:num w:numId="2" w16cid:durableId="101994156">
    <w:abstractNumId w:val="8"/>
  </w:num>
  <w:num w:numId="3" w16cid:durableId="2087918690">
    <w:abstractNumId w:val="10"/>
  </w:num>
  <w:num w:numId="4" w16cid:durableId="1348097710">
    <w:abstractNumId w:val="1"/>
  </w:num>
  <w:num w:numId="5" w16cid:durableId="1825589214">
    <w:abstractNumId w:val="14"/>
  </w:num>
  <w:num w:numId="6" w16cid:durableId="2107261290">
    <w:abstractNumId w:val="13"/>
  </w:num>
  <w:num w:numId="7" w16cid:durableId="571743349">
    <w:abstractNumId w:val="9"/>
  </w:num>
  <w:num w:numId="8" w16cid:durableId="164321838">
    <w:abstractNumId w:val="21"/>
  </w:num>
  <w:num w:numId="9" w16cid:durableId="15860379">
    <w:abstractNumId w:val="4"/>
  </w:num>
  <w:num w:numId="10" w16cid:durableId="1271473508">
    <w:abstractNumId w:val="2"/>
  </w:num>
  <w:num w:numId="11" w16cid:durableId="720326912">
    <w:abstractNumId w:val="11"/>
  </w:num>
  <w:num w:numId="12" w16cid:durableId="1586256297">
    <w:abstractNumId w:val="18"/>
  </w:num>
  <w:num w:numId="13" w16cid:durableId="1217400566">
    <w:abstractNumId w:val="17"/>
  </w:num>
  <w:num w:numId="14" w16cid:durableId="288316906">
    <w:abstractNumId w:val="12"/>
  </w:num>
  <w:num w:numId="15" w16cid:durableId="845831414">
    <w:abstractNumId w:val="5"/>
  </w:num>
  <w:num w:numId="16" w16cid:durableId="1293486647">
    <w:abstractNumId w:val="6"/>
  </w:num>
  <w:num w:numId="17" w16cid:durableId="360134397">
    <w:abstractNumId w:val="7"/>
  </w:num>
  <w:num w:numId="18" w16cid:durableId="590043121">
    <w:abstractNumId w:val="0"/>
  </w:num>
  <w:num w:numId="19" w16cid:durableId="1033119128">
    <w:abstractNumId w:val="15"/>
  </w:num>
  <w:num w:numId="20" w16cid:durableId="1702323070">
    <w:abstractNumId w:val="3"/>
  </w:num>
  <w:num w:numId="21" w16cid:durableId="807822410">
    <w:abstractNumId w:val="16"/>
  </w:num>
  <w:num w:numId="22" w16cid:durableId="1172916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3637A"/>
    <w:rsid w:val="000641FC"/>
    <w:rsid w:val="00065286"/>
    <w:rsid w:val="00066B11"/>
    <w:rsid w:val="000F29F2"/>
    <w:rsid w:val="00122186"/>
    <w:rsid w:val="0018400E"/>
    <w:rsid w:val="001859BF"/>
    <w:rsid w:val="0019733E"/>
    <w:rsid w:val="001A0052"/>
    <w:rsid w:val="001B5497"/>
    <w:rsid w:val="001E1CF8"/>
    <w:rsid w:val="001E55AB"/>
    <w:rsid w:val="002257F0"/>
    <w:rsid w:val="0023671E"/>
    <w:rsid w:val="002867D1"/>
    <w:rsid w:val="002C5B50"/>
    <w:rsid w:val="002D7D67"/>
    <w:rsid w:val="002E2EB7"/>
    <w:rsid w:val="002E6373"/>
    <w:rsid w:val="00300A4E"/>
    <w:rsid w:val="00312DDD"/>
    <w:rsid w:val="0032524E"/>
    <w:rsid w:val="0037079F"/>
    <w:rsid w:val="003B4E8A"/>
    <w:rsid w:val="00401F2B"/>
    <w:rsid w:val="00454A63"/>
    <w:rsid w:val="0046786C"/>
    <w:rsid w:val="004723FA"/>
    <w:rsid w:val="00493C12"/>
    <w:rsid w:val="004D3E11"/>
    <w:rsid w:val="004E1E9D"/>
    <w:rsid w:val="004F162A"/>
    <w:rsid w:val="005141C6"/>
    <w:rsid w:val="005461D4"/>
    <w:rsid w:val="0055286D"/>
    <w:rsid w:val="005B64A7"/>
    <w:rsid w:val="005F0E0D"/>
    <w:rsid w:val="006075D2"/>
    <w:rsid w:val="00674036"/>
    <w:rsid w:val="00677266"/>
    <w:rsid w:val="00685D8D"/>
    <w:rsid w:val="006911A2"/>
    <w:rsid w:val="00695E9D"/>
    <w:rsid w:val="006A64A4"/>
    <w:rsid w:val="00701F24"/>
    <w:rsid w:val="007114A5"/>
    <w:rsid w:val="00741A75"/>
    <w:rsid w:val="00755714"/>
    <w:rsid w:val="00793600"/>
    <w:rsid w:val="007A7F64"/>
    <w:rsid w:val="007E1AC2"/>
    <w:rsid w:val="00837140"/>
    <w:rsid w:val="0086056B"/>
    <w:rsid w:val="00875A42"/>
    <w:rsid w:val="008D6450"/>
    <w:rsid w:val="008E6EA0"/>
    <w:rsid w:val="00900858"/>
    <w:rsid w:val="0092294A"/>
    <w:rsid w:val="00933D74"/>
    <w:rsid w:val="0096038D"/>
    <w:rsid w:val="009B1552"/>
    <w:rsid w:val="009C5DD4"/>
    <w:rsid w:val="009F6230"/>
    <w:rsid w:val="00A17DF2"/>
    <w:rsid w:val="00A251EF"/>
    <w:rsid w:val="00A342DF"/>
    <w:rsid w:val="00A61A19"/>
    <w:rsid w:val="00A7189C"/>
    <w:rsid w:val="00A804C5"/>
    <w:rsid w:val="00A92EA5"/>
    <w:rsid w:val="00A97B3D"/>
    <w:rsid w:val="00AF161E"/>
    <w:rsid w:val="00B009B4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E3C51"/>
    <w:rsid w:val="00CF4D71"/>
    <w:rsid w:val="00D10E64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6E39"/>
    <w:rsid w:val="00E87771"/>
    <w:rsid w:val="00EA3E79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D1D7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2AFF-209D-4B52-B691-5B408D7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Anita Cacaj</cp:lastModifiedBy>
  <cp:revision>2</cp:revision>
  <cp:lastPrinted>2023-01-16T09:36:00Z</cp:lastPrinted>
  <dcterms:created xsi:type="dcterms:W3CDTF">2023-01-17T12:59:00Z</dcterms:created>
  <dcterms:modified xsi:type="dcterms:W3CDTF">2023-01-17T12:59:00Z</dcterms:modified>
</cp:coreProperties>
</file>